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C46" w:rsidRDefault="00183A0C">
      <w:pPr>
        <w:pStyle w:val="a5"/>
        <w:rPr>
          <w:lang w:eastAsia="ja-JP"/>
        </w:rPr>
      </w:pPr>
      <w:bookmarkStart w:id="0" w:name="_GoBack"/>
      <w:bookmarkEnd w:id="0"/>
      <w:r>
        <w:t xml:space="preserve">Evaluation of a </w:t>
      </w:r>
      <w:r w:rsidR="009F0B7A">
        <w:rPr>
          <w:rFonts w:hint="eastAsia"/>
          <w:lang w:eastAsia="ja-JP"/>
        </w:rPr>
        <w:t>g</w:t>
      </w:r>
      <w:r>
        <w:t xml:space="preserve">ravimetric </w:t>
      </w:r>
      <w:r w:rsidR="009F0B7A">
        <w:rPr>
          <w:rFonts w:hint="eastAsia"/>
          <w:lang w:eastAsia="ja-JP"/>
        </w:rPr>
        <w:t>c</w:t>
      </w:r>
      <w:r>
        <w:t xml:space="preserve">alibration </w:t>
      </w:r>
      <w:r w:rsidR="009F0B7A">
        <w:rPr>
          <w:rFonts w:hint="eastAsia"/>
          <w:lang w:eastAsia="ja-JP"/>
        </w:rPr>
        <w:t>f</w:t>
      </w:r>
      <w:r>
        <w:t xml:space="preserve">acility using a </w:t>
      </w:r>
      <w:r w:rsidR="009F0B7A">
        <w:rPr>
          <w:rFonts w:hint="eastAsia"/>
          <w:lang w:eastAsia="ja-JP"/>
        </w:rPr>
        <w:t>d</w:t>
      </w:r>
      <w:r>
        <w:t xml:space="preserve">ouble-wing </w:t>
      </w:r>
      <w:r w:rsidR="009F0B7A">
        <w:rPr>
          <w:rFonts w:hint="eastAsia"/>
          <w:lang w:eastAsia="ja-JP"/>
        </w:rPr>
        <w:t>d</w:t>
      </w:r>
      <w:r>
        <w:t xml:space="preserve">iverter with </w:t>
      </w:r>
      <w:r w:rsidR="009F0B7A">
        <w:rPr>
          <w:rFonts w:hint="eastAsia"/>
          <w:lang w:eastAsia="ja-JP"/>
        </w:rPr>
        <w:t>f</w:t>
      </w:r>
      <w:r>
        <w:t xml:space="preserve">our </w:t>
      </w:r>
      <w:r w:rsidR="009F0B7A">
        <w:rPr>
          <w:rFonts w:hint="eastAsia"/>
          <w:lang w:eastAsia="ja-JP"/>
        </w:rPr>
        <w:t>t</w:t>
      </w:r>
      <w:r>
        <w:t xml:space="preserve">ypes of </w:t>
      </w:r>
      <w:r w:rsidR="009F0B7A">
        <w:rPr>
          <w:rFonts w:hint="eastAsia"/>
          <w:lang w:eastAsia="ja-JP"/>
        </w:rPr>
        <w:t>w</w:t>
      </w:r>
      <w:r>
        <w:t xml:space="preserve">orking </w:t>
      </w:r>
      <w:r w:rsidR="009F0B7A">
        <w:rPr>
          <w:rFonts w:hint="eastAsia"/>
          <w:lang w:eastAsia="ja-JP"/>
        </w:rPr>
        <w:t>l</w:t>
      </w:r>
      <w:r w:rsidR="00E53129" w:rsidRPr="00E53129">
        <w:t>iquids</w:t>
      </w:r>
    </w:p>
    <w:p w:rsidR="005F2C46" w:rsidRDefault="005F2C46"/>
    <w:p w:rsidR="005F2C46" w:rsidRDefault="00E53129" w:rsidP="00D13359">
      <w:pPr>
        <w:pStyle w:val="a4"/>
        <w:jc w:val="center"/>
        <w:rPr>
          <w:b/>
          <w:sz w:val="24"/>
        </w:rPr>
      </w:pPr>
      <w:r>
        <w:rPr>
          <w:rFonts w:hint="eastAsia"/>
          <w:b/>
          <w:sz w:val="24"/>
          <w:lang w:eastAsia="ja-JP"/>
        </w:rPr>
        <w:t>R. Doihara</w:t>
      </w:r>
      <w:r w:rsidR="00D13359" w:rsidRPr="00D13359">
        <w:rPr>
          <w:b/>
          <w:sz w:val="24"/>
        </w:rPr>
        <w:t xml:space="preserve">, </w:t>
      </w:r>
      <w:r w:rsidR="00D36A21">
        <w:rPr>
          <w:rFonts w:hint="eastAsia"/>
          <w:b/>
          <w:sz w:val="24"/>
          <w:lang w:eastAsia="ja-JP"/>
        </w:rPr>
        <w:t>K. H. Cheong, T. Shimada</w:t>
      </w:r>
      <w:r>
        <w:rPr>
          <w:rFonts w:hint="eastAsia"/>
          <w:b/>
          <w:sz w:val="24"/>
          <w:lang w:eastAsia="ja-JP"/>
        </w:rPr>
        <w:t xml:space="preserve"> </w:t>
      </w:r>
      <w:r w:rsidR="00D13359" w:rsidRPr="00D13359">
        <w:rPr>
          <w:b/>
          <w:sz w:val="24"/>
        </w:rPr>
        <w:t xml:space="preserve">and </w:t>
      </w:r>
      <w:r>
        <w:rPr>
          <w:rFonts w:hint="eastAsia"/>
          <w:b/>
          <w:sz w:val="24"/>
          <w:lang w:eastAsia="ja-JP"/>
        </w:rPr>
        <w:t>Y. Terao</w:t>
      </w:r>
    </w:p>
    <w:p w:rsidR="005F2C46" w:rsidRDefault="005F2C46">
      <w:pPr>
        <w:jc w:val="center"/>
        <w:rPr>
          <w:i/>
          <w:sz w:val="22"/>
        </w:rPr>
      </w:pPr>
    </w:p>
    <w:p w:rsidR="00D13359" w:rsidRPr="00D13359" w:rsidRDefault="00E53129" w:rsidP="00E53129">
      <w:pPr>
        <w:jc w:val="center"/>
        <w:rPr>
          <w:i/>
          <w:sz w:val="20"/>
        </w:rPr>
      </w:pPr>
      <w:r w:rsidRPr="00E53129">
        <w:rPr>
          <w:i/>
          <w:sz w:val="20"/>
        </w:rPr>
        <w:t xml:space="preserve">National Metrology Institute of Japan, </w:t>
      </w:r>
      <w:r>
        <w:rPr>
          <w:rFonts w:hint="eastAsia"/>
          <w:i/>
          <w:sz w:val="20"/>
          <w:lang w:eastAsia="ja-JP"/>
        </w:rPr>
        <w:t>AIST</w:t>
      </w:r>
      <w:proofErr w:type="gramStart"/>
      <w:r w:rsidR="00D13359" w:rsidRPr="00D13359">
        <w:rPr>
          <w:i/>
          <w:sz w:val="20"/>
        </w:rPr>
        <w:t>,</w:t>
      </w:r>
      <w:r>
        <w:rPr>
          <w:rFonts w:hint="eastAsia"/>
          <w:i/>
          <w:sz w:val="20"/>
          <w:lang w:eastAsia="ja-JP"/>
        </w:rPr>
        <w:t>1</w:t>
      </w:r>
      <w:proofErr w:type="gramEnd"/>
      <w:r>
        <w:rPr>
          <w:rFonts w:hint="eastAsia"/>
          <w:i/>
          <w:sz w:val="20"/>
          <w:lang w:eastAsia="ja-JP"/>
        </w:rPr>
        <w:t>-1-1 Umezono</w:t>
      </w:r>
      <w:r w:rsidR="00D13359" w:rsidRPr="00D13359">
        <w:rPr>
          <w:i/>
          <w:sz w:val="20"/>
        </w:rPr>
        <w:t>,</w:t>
      </w:r>
      <w:r>
        <w:rPr>
          <w:rFonts w:hint="eastAsia"/>
          <w:i/>
          <w:sz w:val="20"/>
          <w:lang w:eastAsia="ja-JP"/>
        </w:rPr>
        <w:t>Tsukuba</w:t>
      </w:r>
      <w:r w:rsidR="00D13359" w:rsidRPr="00D13359">
        <w:rPr>
          <w:i/>
          <w:sz w:val="20"/>
        </w:rPr>
        <w:t xml:space="preserve">, </w:t>
      </w:r>
      <w:r>
        <w:rPr>
          <w:rFonts w:hint="eastAsia"/>
          <w:i/>
          <w:sz w:val="20"/>
          <w:lang w:eastAsia="ja-JP"/>
        </w:rPr>
        <w:t>Japan</w:t>
      </w:r>
    </w:p>
    <w:p w:rsidR="005F2C46" w:rsidRDefault="00D13359" w:rsidP="00D13359">
      <w:pPr>
        <w:jc w:val="center"/>
        <w:rPr>
          <w:i/>
          <w:sz w:val="20"/>
        </w:rPr>
      </w:pPr>
      <w:r w:rsidRPr="00D13359">
        <w:rPr>
          <w:i/>
          <w:sz w:val="20"/>
        </w:rPr>
        <w:t xml:space="preserve">E-mail (corresponding author): </w:t>
      </w:r>
      <w:r w:rsidR="00E53129">
        <w:rPr>
          <w:rFonts w:hint="eastAsia"/>
          <w:i/>
          <w:sz w:val="20"/>
          <w:lang w:eastAsia="ja-JP"/>
        </w:rPr>
        <w:t>r-doihara</w:t>
      </w:r>
      <w:r w:rsidRPr="00D13359">
        <w:rPr>
          <w:i/>
          <w:sz w:val="20"/>
        </w:rPr>
        <w:t>@</w:t>
      </w:r>
      <w:r w:rsidR="00E53129">
        <w:rPr>
          <w:rFonts w:hint="eastAsia"/>
          <w:i/>
          <w:sz w:val="20"/>
          <w:lang w:eastAsia="ja-JP"/>
        </w:rPr>
        <w:t>aist.go.jp</w:t>
      </w:r>
    </w:p>
    <w:p w:rsidR="005F2C46" w:rsidRDefault="00994CE1">
      <w:r>
        <w:pict>
          <v:rect id="_x0000_i1025" style="width:0;height:1.5pt" o:hralign="center" o:hrstd="t" o:hr="t" fillcolor="gray" stroked="f"/>
        </w:pict>
      </w:r>
    </w:p>
    <w:p w:rsidR="005F2C46" w:rsidRDefault="005F2C46" w:rsidP="00AB51F5">
      <w:pPr>
        <w:pStyle w:val="1"/>
      </w:pPr>
      <w:r>
        <w:t>Abstract</w:t>
      </w:r>
    </w:p>
    <w:p w:rsidR="00AB51F5" w:rsidRPr="00AB51F5" w:rsidRDefault="00AB51F5" w:rsidP="00AB51F5"/>
    <w:p w:rsidR="005912E1" w:rsidRDefault="00E53129" w:rsidP="00E53129">
      <w:pPr>
        <w:jc w:val="both"/>
        <w:rPr>
          <w:sz w:val="20"/>
        </w:rPr>
      </w:pPr>
      <w:r w:rsidRPr="00E53129">
        <w:rPr>
          <w:sz w:val="20"/>
        </w:rPr>
        <w:t xml:space="preserve">A flow calibration facility based on the gravimetric method using a double-wing diverter for hydrocarbon flows from 0.1 </w:t>
      </w:r>
      <w:proofErr w:type="gramStart"/>
      <w:r w:rsidRPr="00E53129">
        <w:rPr>
          <w:sz w:val="20"/>
        </w:rPr>
        <w:t>to 15 m</w:t>
      </w:r>
      <w:r w:rsidRPr="00964C51">
        <w:rPr>
          <w:sz w:val="20"/>
          <w:vertAlign w:val="superscript"/>
        </w:rPr>
        <w:t>3</w:t>
      </w:r>
      <w:r w:rsidRPr="00E53129">
        <w:rPr>
          <w:sz w:val="20"/>
        </w:rPr>
        <w:t>/h</w:t>
      </w:r>
      <w:proofErr w:type="gramEnd"/>
      <w:r w:rsidRPr="00E53129">
        <w:rPr>
          <w:sz w:val="20"/>
        </w:rPr>
        <w:t xml:space="preserve"> was constructed as a national measurement standard at the National Metrology Institute of Japan (NMIJ). The original working liquids were kerosene and light oil. The calibration facility was modified to calibrate flowmeters with two additional working liquids, industrial gas</w:t>
      </w:r>
      <w:r>
        <w:rPr>
          <w:sz w:val="20"/>
        </w:rPr>
        <w:t>oline (flash point &gt; 40</w:t>
      </w:r>
      <w:r w:rsidR="00586AD9">
        <w:rPr>
          <w:rFonts w:hint="eastAsia"/>
          <w:sz w:val="20"/>
          <w:lang w:eastAsia="ja-JP"/>
        </w:rPr>
        <w:t xml:space="preserve"> </w:t>
      </w:r>
      <w:r w:rsidR="00225C0B" w:rsidRPr="00225C0B">
        <w:rPr>
          <w:sz w:val="20"/>
        </w:rPr>
        <w:sym w:font="Symbol" w:char="F0B0"/>
      </w:r>
      <w:r w:rsidR="00225C0B" w:rsidRPr="00225C0B">
        <w:rPr>
          <w:sz w:val="20"/>
        </w:rPr>
        <w:t>C</w:t>
      </w:r>
      <w:r w:rsidRPr="00E53129">
        <w:rPr>
          <w:sz w:val="20"/>
        </w:rPr>
        <w:t>) and spindle oil, to achieve calibration over a wide viscosity range. The kinematic viscosity range of industrial gasoline, kerosene, light oil, and spindle oil is 1.2–24 mm</w:t>
      </w:r>
      <w:r w:rsidRPr="00225C0B">
        <w:rPr>
          <w:sz w:val="20"/>
          <w:vertAlign w:val="superscript"/>
        </w:rPr>
        <w:t>2</w:t>
      </w:r>
      <w:r w:rsidRPr="00E53129">
        <w:rPr>
          <w:sz w:val="20"/>
        </w:rPr>
        <w:t xml:space="preserve">/s. The contributions to the measurement uncertainty for the four types of working liquids were </w:t>
      </w:r>
      <w:r w:rsidR="00225C0B" w:rsidRPr="00E53129">
        <w:rPr>
          <w:sz w:val="20"/>
        </w:rPr>
        <w:t>analysed</w:t>
      </w:r>
      <w:r w:rsidRPr="00E53129">
        <w:rPr>
          <w:sz w:val="20"/>
        </w:rPr>
        <w:t xml:space="preserve"> experimentally in this study. The uncertainty due to droplets from the diverter wings was reduced by a modified diverter operation. The diverter timing errors for all types of working liquids were estimated based on the method described in ISO4185. The error due to the droplets from the drain nozzle of the weighing tank was reduced by using a chemical coating. The expanded uncertainties for the calibration facility were estimated to be 0.02</w:t>
      </w:r>
      <w:r w:rsidR="0044262E">
        <w:rPr>
          <w:rFonts w:hint="eastAsia"/>
          <w:sz w:val="20"/>
          <w:lang w:eastAsia="ja-JP"/>
        </w:rPr>
        <w:t>0</w:t>
      </w:r>
      <w:r w:rsidR="00E71AB8">
        <w:rPr>
          <w:rFonts w:hint="eastAsia"/>
          <w:sz w:val="20"/>
          <w:lang w:eastAsia="ja-JP"/>
        </w:rPr>
        <w:t xml:space="preserve"> </w:t>
      </w:r>
      <w:r w:rsidRPr="00E53129">
        <w:rPr>
          <w:sz w:val="20"/>
        </w:rPr>
        <w:t>% for mass flow and 0.03</w:t>
      </w:r>
      <w:r w:rsidR="0044262E">
        <w:rPr>
          <w:rFonts w:hint="eastAsia"/>
          <w:sz w:val="20"/>
          <w:lang w:eastAsia="ja-JP"/>
        </w:rPr>
        <w:t>0</w:t>
      </w:r>
      <w:r w:rsidR="00E71AB8">
        <w:rPr>
          <w:rFonts w:hint="eastAsia"/>
          <w:sz w:val="20"/>
          <w:lang w:eastAsia="ja-JP"/>
        </w:rPr>
        <w:t xml:space="preserve"> </w:t>
      </w:r>
      <w:r w:rsidRPr="00E53129">
        <w:rPr>
          <w:sz w:val="20"/>
        </w:rPr>
        <w:t xml:space="preserve">% for volumetric flow for all considered types of liquids. </w:t>
      </w:r>
    </w:p>
    <w:p w:rsidR="005F2C46" w:rsidRDefault="00994CE1">
      <w:r>
        <w:pict>
          <v:rect id="_x0000_i1026" style="width:0;height:1.5pt" o:hralign="center" o:hrstd="t" o:hr="t" fillcolor="gray" stroked="f"/>
        </w:pict>
      </w:r>
    </w:p>
    <w:p w:rsidR="00EA6110" w:rsidRDefault="00EA6110">
      <w:pPr>
        <w:sectPr w:rsidR="00EA6110" w:rsidSect="00A86C33">
          <w:footerReference w:type="default" r:id="rId9"/>
          <w:pgSz w:w="11906" w:h="16838"/>
          <w:pgMar w:top="1440" w:right="1077" w:bottom="1440" w:left="1077" w:header="720" w:footer="720" w:gutter="0"/>
          <w:cols w:space="720"/>
        </w:sectPr>
      </w:pPr>
    </w:p>
    <w:p w:rsidR="005F2C46" w:rsidRDefault="005F2C46">
      <w:pPr>
        <w:pStyle w:val="a4"/>
      </w:pPr>
    </w:p>
    <w:p w:rsidR="005F2C46" w:rsidRDefault="005F2C46">
      <w:pPr>
        <w:pStyle w:val="1"/>
      </w:pPr>
      <w:r>
        <w:t>1. Introduction</w:t>
      </w:r>
    </w:p>
    <w:p w:rsidR="005F2C46" w:rsidRDefault="005F2C46">
      <w:pPr>
        <w:pStyle w:val="a4"/>
      </w:pPr>
    </w:p>
    <w:p w:rsidR="00225C0B" w:rsidRPr="00225C0B" w:rsidRDefault="00225C0B" w:rsidP="00225C0B">
      <w:pPr>
        <w:pStyle w:val="a4"/>
        <w:rPr>
          <w:lang w:val="en-US"/>
        </w:rPr>
      </w:pPr>
      <w:r w:rsidRPr="00225C0B">
        <w:rPr>
          <w:lang w:val="en-US"/>
        </w:rPr>
        <w:t xml:space="preserve">Hydrocarbon flow measurements play an important role in many industrial fields. Highly accurate measurements are required, especially in taxation and trade. Many types of facilities have been developed to calibrate flowmeters for such measurements. To achieve higher accuracy, the National Metrology Institute of Japan (NMIJ) has constructed hydrocarbon flow facilities that use a gravimetric method with a diverter. After initiating calibration services at a large hydrocarbon calibration facility with a flow rate range </w:t>
      </w:r>
      <w:proofErr w:type="gramStart"/>
      <w:r w:rsidRPr="00225C0B">
        <w:rPr>
          <w:lang w:val="en-US"/>
        </w:rPr>
        <w:t>of 3 to 300 m</w:t>
      </w:r>
      <w:r w:rsidRPr="00225C0B">
        <w:rPr>
          <w:vertAlign w:val="superscript"/>
          <w:lang w:val="en-US"/>
        </w:rPr>
        <w:t>3</w:t>
      </w:r>
      <w:r w:rsidRPr="00225C0B">
        <w:rPr>
          <w:lang w:val="en-US"/>
        </w:rPr>
        <w:t>/h</w:t>
      </w:r>
      <w:r w:rsidR="006072C5">
        <w:rPr>
          <w:rFonts w:hint="eastAsia"/>
          <w:lang w:val="en-US" w:eastAsia="ja-JP"/>
        </w:rPr>
        <w:t xml:space="preserve"> </w:t>
      </w:r>
      <w:r w:rsidR="006072C5">
        <w:rPr>
          <w:lang w:val="en-US" w:eastAsia="ja-JP"/>
        </w:rPr>
        <w:fldChar w:fldCharType="begin"/>
      </w:r>
      <w:r w:rsidR="006072C5">
        <w:rPr>
          <w:lang w:val="en-US" w:eastAsia="ja-JP"/>
        </w:rPr>
        <w:instrText xml:space="preserve"> </w:instrText>
      </w:r>
      <w:r w:rsidR="006072C5">
        <w:rPr>
          <w:rFonts w:hint="eastAsia"/>
          <w:lang w:val="en-US" w:eastAsia="ja-JP"/>
        </w:rPr>
        <w:instrText>REF _Ref458860501 \r \h</w:instrText>
      </w:r>
      <w:r w:rsidR="006072C5">
        <w:rPr>
          <w:lang w:val="en-US" w:eastAsia="ja-JP"/>
        </w:rPr>
        <w:instrText xml:space="preserve"> </w:instrText>
      </w:r>
      <w:r w:rsidR="006072C5">
        <w:rPr>
          <w:lang w:val="en-US" w:eastAsia="ja-JP"/>
        </w:rPr>
      </w:r>
      <w:r w:rsidR="006072C5">
        <w:rPr>
          <w:lang w:val="en-US" w:eastAsia="ja-JP"/>
        </w:rPr>
        <w:fldChar w:fldCharType="separate"/>
      </w:r>
      <w:r w:rsidR="00BA2C13">
        <w:rPr>
          <w:lang w:val="en-US" w:eastAsia="ja-JP"/>
        </w:rPr>
        <w:t>[1]</w:t>
      </w:r>
      <w:r w:rsidR="006072C5">
        <w:rPr>
          <w:lang w:val="en-US" w:eastAsia="ja-JP"/>
        </w:rPr>
        <w:fldChar w:fldCharType="end"/>
      </w:r>
      <w:r w:rsidRPr="00225C0B">
        <w:rPr>
          <w:lang w:val="en-US"/>
        </w:rPr>
        <w:t>,</w:t>
      </w:r>
      <w:proofErr w:type="gramEnd"/>
      <w:r w:rsidRPr="00225C0B">
        <w:rPr>
          <w:lang w:val="en-US"/>
        </w:rPr>
        <w:t xml:space="preserve"> NMIJ formed a plan to extend the calibration range to lower flow rates by providing a medium facility as the primary standard. A double-wing diverter </w:t>
      </w:r>
      <w:r w:rsidR="006072C5">
        <w:rPr>
          <w:lang w:val="en-US"/>
        </w:rPr>
        <w:fldChar w:fldCharType="begin"/>
      </w:r>
      <w:r w:rsidR="006072C5">
        <w:rPr>
          <w:lang w:val="en-US"/>
        </w:rPr>
        <w:instrText xml:space="preserve"> REF _Ref458860521 \r \h </w:instrText>
      </w:r>
      <w:r w:rsidR="006072C5">
        <w:rPr>
          <w:lang w:val="en-US"/>
        </w:rPr>
      </w:r>
      <w:r w:rsidR="006072C5">
        <w:rPr>
          <w:lang w:val="en-US"/>
        </w:rPr>
        <w:fldChar w:fldCharType="separate"/>
      </w:r>
      <w:r w:rsidR="00BA2C13">
        <w:rPr>
          <w:lang w:val="en-US"/>
        </w:rPr>
        <w:t>[2]</w:t>
      </w:r>
      <w:r w:rsidR="006072C5">
        <w:rPr>
          <w:lang w:val="en-US"/>
        </w:rPr>
        <w:fldChar w:fldCharType="end"/>
      </w:r>
      <w:proofErr w:type="gramStart"/>
      <w:r w:rsidR="006072C5">
        <w:rPr>
          <w:rFonts w:hint="eastAsia"/>
          <w:lang w:val="en-US" w:eastAsia="ja-JP"/>
        </w:rPr>
        <w:t>,</w:t>
      </w:r>
      <w:proofErr w:type="gramEnd"/>
      <w:r w:rsidR="006072C5">
        <w:rPr>
          <w:lang w:val="en-US"/>
        </w:rPr>
        <w:fldChar w:fldCharType="begin"/>
      </w:r>
      <w:r w:rsidR="006072C5">
        <w:rPr>
          <w:lang w:val="en-US"/>
        </w:rPr>
        <w:instrText xml:space="preserve"> REF _Ref458860525 \r \h </w:instrText>
      </w:r>
      <w:r w:rsidR="006072C5">
        <w:rPr>
          <w:lang w:val="en-US"/>
        </w:rPr>
      </w:r>
      <w:r w:rsidR="006072C5">
        <w:rPr>
          <w:lang w:val="en-US"/>
        </w:rPr>
        <w:fldChar w:fldCharType="separate"/>
      </w:r>
      <w:r w:rsidR="00BA2C13">
        <w:rPr>
          <w:lang w:val="en-US"/>
        </w:rPr>
        <w:t>[3]</w:t>
      </w:r>
      <w:r w:rsidR="006072C5">
        <w:rPr>
          <w:lang w:val="en-US"/>
        </w:rPr>
        <w:fldChar w:fldCharType="end"/>
      </w:r>
      <w:r w:rsidR="006072C5">
        <w:rPr>
          <w:rFonts w:hint="eastAsia"/>
          <w:lang w:val="en-US" w:eastAsia="ja-JP"/>
        </w:rPr>
        <w:t xml:space="preserve"> </w:t>
      </w:r>
      <w:r w:rsidRPr="00225C0B">
        <w:rPr>
          <w:lang w:val="en-US"/>
        </w:rPr>
        <w:t>was developed for the large facility, and the double-wing diverter used at the medium hydrocarbon flow facility was improved such that it can perform rotary motions</w:t>
      </w:r>
      <w:r w:rsidR="006072C5">
        <w:rPr>
          <w:rFonts w:hint="eastAsia"/>
          <w:lang w:val="en-US" w:eastAsia="ja-JP"/>
        </w:rPr>
        <w:t xml:space="preserve"> </w:t>
      </w:r>
      <w:r w:rsidR="006072C5">
        <w:rPr>
          <w:lang w:val="en-US" w:eastAsia="ja-JP"/>
        </w:rPr>
        <w:fldChar w:fldCharType="begin"/>
      </w:r>
      <w:r w:rsidR="006072C5">
        <w:rPr>
          <w:lang w:val="en-US" w:eastAsia="ja-JP"/>
        </w:rPr>
        <w:instrText xml:space="preserve"> </w:instrText>
      </w:r>
      <w:r w:rsidR="006072C5">
        <w:rPr>
          <w:rFonts w:hint="eastAsia"/>
          <w:lang w:val="en-US" w:eastAsia="ja-JP"/>
        </w:rPr>
        <w:instrText>REF _Ref458860739 \r \h</w:instrText>
      </w:r>
      <w:r w:rsidR="006072C5">
        <w:rPr>
          <w:lang w:val="en-US" w:eastAsia="ja-JP"/>
        </w:rPr>
        <w:instrText xml:space="preserve"> </w:instrText>
      </w:r>
      <w:r w:rsidR="006072C5">
        <w:rPr>
          <w:lang w:val="en-US" w:eastAsia="ja-JP"/>
        </w:rPr>
      </w:r>
      <w:r w:rsidR="006072C5">
        <w:rPr>
          <w:lang w:val="en-US" w:eastAsia="ja-JP"/>
        </w:rPr>
        <w:fldChar w:fldCharType="separate"/>
      </w:r>
      <w:r w:rsidR="00BA2C13">
        <w:rPr>
          <w:lang w:val="en-US" w:eastAsia="ja-JP"/>
        </w:rPr>
        <w:t>[4]</w:t>
      </w:r>
      <w:r w:rsidR="006072C5">
        <w:rPr>
          <w:lang w:val="en-US" w:eastAsia="ja-JP"/>
        </w:rPr>
        <w:fldChar w:fldCharType="end"/>
      </w:r>
      <w:r w:rsidRPr="00225C0B">
        <w:rPr>
          <w:lang w:val="en-US"/>
        </w:rPr>
        <w:t xml:space="preserve">. Then, a medium hydrocarbon flow calibration facility with a flow rate range </w:t>
      </w:r>
      <w:proofErr w:type="gramStart"/>
      <w:r w:rsidRPr="00225C0B">
        <w:rPr>
          <w:lang w:val="en-US"/>
        </w:rPr>
        <w:t>of 0.1 to 15 m</w:t>
      </w:r>
      <w:r w:rsidRPr="00225C0B">
        <w:rPr>
          <w:vertAlign w:val="superscript"/>
          <w:lang w:val="en-US"/>
        </w:rPr>
        <w:t>3</w:t>
      </w:r>
      <w:r w:rsidRPr="00225C0B">
        <w:rPr>
          <w:lang w:val="en-US"/>
        </w:rPr>
        <w:t>/h</w:t>
      </w:r>
      <w:proofErr w:type="gramEnd"/>
      <w:r w:rsidRPr="00225C0B">
        <w:rPr>
          <w:lang w:val="en-US"/>
        </w:rPr>
        <w:t xml:space="preserve"> was constructed using a weighing tank system with the improved diverter</w:t>
      </w:r>
      <w:r w:rsidR="006F6AE6">
        <w:rPr>
          <w:rFonts w:hint="eastAsia"/>
          <w:lang w:val="en-US" w:eastAsia="ja-JP"/>
        </w:rPr>
        <w:t xml:space="preserve"> </w:t>
      </w:r>
      <w:r w:rsidR="006F6AE6">
        <w:rPr>
          <w:lang w:val="en-US" w:eastAsia="ja-JP"/>
        </w:rPr>
        <w:fldChar w:fldCharType="begin"/>
      </w:r>
      <w:r w:rsidR="006F6AE6">
        <w:rPr>
          <w:lang w:val="en-US" w:eastAsia="ja-JP"/>
        </w:rPr>
        <w:instrText xml:space="preserve"> </w:instrText>
      </w:r>
      <w:r w:rsidR="006F6AE6">
        <w:rPr>
          <w:rFonts w:hint="eastAsia"/>
          <w:lang w:val="en-US" w:eastAsia="ja-JP"/>
        </w:rPr>
        <w:instrText>REF _Ref458860685 \r \h</w:instrText>
      </w:r>
      <w:r w:rsidR="006F6AE6">
        <w:rPr>
          <w:lang w:val="en-US" w:eastAsia="ja-JP"/>
        </w:rPr>
        <w:instrText xml:space="preserve"> </w:instrText>
      </w:r>
      <w:r w:rsidR="006F6AE6">
        <w:rPr>
          <w:lang w:val="en-US" w:eastAsia="ja-JP"/>
        </w:rPr>
      </w:r>
      <w:r w:rsidR="006F6AE6">
        <w:rPr>
          <w:lang w:val="en-US" w:eastAsia="ja-JP"/>
        </w:rPr>
        <w:fldChar w:fldCharType="separate"/>
      </w:r>
      <w:r w:rsidR="00BA2C13">
        <w:rPr>
          <w:lang w:val="en-US" w:eastAsia="ja-JP"/>
        </w:rPr>
        <w:t>[5]</w:t>
      </w:r>
      <w:r w:rsidR="006F6AE6">
        <w:rPr>
          <w:lang w:val="en-US" w:eastAsia="ja-JP"/>
        </w:rPr>
        <w:fldChar w:fldCharType="end"/>
      </w:r>
      <w:r w:rsidRPr="00225C0B">
        <w:rPr>
          <w:lang w:val="en-US"/>
        </w:rPr>
        <w:t>. The original working liquids were kerosene and light oil.</w:t>
      </w:r>
    </w:p>
    <w:p w:rsidR="00225C0B" w:rsidRPr="00225C0B" w:rsidRDefault="00225C0B" w:rsidP="00225C0B">
      <w:pPr>
        <w:pStyle w:val="a4"/>
        <w:rPr>
          <w:lang w:val="en-US"/>
        </w:rPr>
      </w:pPr>
    </w:p>
    <w:p w:rsidR="00005E57" w:rsidRDefault="00225C0B" w:rsidP="00FB4C6C">
      <w:pPr>
        <w:pStyle w:val="a4"/>
        <w:rPr>
          <w:lang w:val="en-US" w:eastAsia="ja-JP"/>
        </w:rPr>
      </w:pPr>
      <w:r w:rsidRPr="00225C0B">
        <w:rPr>
          <w:lang w:val="en-US"/>
        </w:rPr>
        <w:t xml:space="preserve">The medium hydrocarbon flow facility was modified to calibrate flowmeters with the additional working liquids of industrial gasoline (flash point &gt; 40 </w:t>
      </w:r>
      <w:r w:rsidRPr="00225C0B">
        <w:rPr>
          <w:lang w:val="en-US"/>
        </w:rPr>
        <w:sym w:font="Symbol" w:char="F0B0"/>
      </w:r>
      <w:r w:rsidRPr="00225C0B">
        <w:rPr>
          <w:lang w:val="en-US"/>
        </w:rPr>
        <w:t>C) and spindle oil in order to achieve calibration over a wide viscosity range (1.2–24 mm</w:t>
      </w:r>
      <w:r w:rsidRPr="00225C0B">
        <w:rPr>
          <w:vertAlign w:val="superscript"/>
          <w:lang w:val="en-US"/>
        </w:rPr>
        <w:t>2</w:t>
      </w:r>
      <w:r w:rsidRPr="00225C0B">
        <w:rPr>
          <w:lang w:val="en-US"/>
        </w:rPr>
        <w:t xml:space="preserve">/s). Differences in liquid properties could affect the performance of the diverter and the weighing tank system. When the diverter wing cuts the liquid jet, the working liquid adheres to the wing surface. Additionally, after the working liquid is drained from the weighing tank, some liquid remains on the inside </w:t>
      </w:r>
      <w:r w:rsidRPr="00225C0B">
        <w:rPr>
          <w:lang w:val="en-US"/>
        </w:rPr>
        <w:lastRenderedPageBreak/>
        <w:t>surface of the drain nozzle</w:t>
      </w:r>
      <w:r w:rsidR="00005E57">
        <w:rPr>
          <w:rFonts w:hint="eastAsia"/>
          <w:lang w:val="en-US" w:eastAsia="ja-JP"/>
        </w:rPr>
        <w:t xml:space="preserve"> and</w:t>
      </w:r>
      <w:r w:rsidRPr="00225C0B">
        <w:rPr>
          <w:lang w:val="en-US"/>
        </w:rPr>
        <w:t xml:space="preserve"> continues to dr</w:t>
      </w:r>
      <w:r w:rsidR="00005E57">
        <w:rPr>
          <w:lang w:val="en-US"/>
        </w:rPr>
        <w:t xml:space="preserve">ip down </w:t>
      </w:r>
      <w:r w:rsidRPr="00225C0B">
        <w:rPr>
          <w:lang w:val="en-US"/>
        </w:rPr>
        <w:t xml:space="preserve">for a long time. </w:t>
      </w:r>
      <w:r w:rsidR="00506BB6" w:rsidRPr="00506BB6">
        <w:rPr>
          <w:lang w:val="en-US" w:eastAsia="ja-JP"/>
        </w:rPr>
        <w:t>Therefore, the calibration results depend on the measurement timing of the weighting scale because the amount of adhering liquid changes.</w:t>
      </w:r>
      <w:r w:rsidR="00506BB6">
        <w:rPr>
          <w:rFonts w:hint="eastAsia"/>
          <w:lang w:val="en-US" w:eastAsia="ja-JP"/>
        </w:rPr>
        <w:t xml:space="preserve"> </w:t>
      </w:r>
      <w:r w:rsidRPr="00225C0B">
        <w:rPr>
          <w:lang w:val="en-US"/>
        </w:rPr>
        <w:t>The influence of</w:t>
      </w:r>
      <w:r w:rsidR="00DC2E99">
        <w:rPr>
          <w:lang w:val="en-US"/>
        </w:rPr>
        <w:t xml:space="preserve"> evaporation may also </w:t>
      </w:r>
      <w:r w:rsidR="00DC2E99">
        <w:rPr>
          <w:rFonts w:hint="eastAsia"/>
          <w:lang w:val="en-US" w:eastAsia="ja-JP"/>
        </w:rPr>
        <w:t>be different</w:t>
      </w:r>
      <w:r w:rsidRPr="00225C0B">
        <w:rPr>
          <w:lang w:val="en-US"/>
        </w:rPr>
        <w:t xml:space="preserve"> depending on the type of working liquid. Furthermore, the diverter timing errors for all types of worki</w:t>
      </w:r>
      <w:r w:rsidR="00506BB6">
        <w:rPr>
          <w:lang w:val="en-US"/>
        </w:rPr>
        <w:t xml:space="preserve">ng liquids should be confirmed because </w:t>
      </w:r>
      <w:r w:rsidR="00506BB6">
        <w:rPr>
          <w:rFonts w:hint="eastAsia"/>
          <w:lang w:eastAsia="ja-JP"/>
        </w:rPr>
        <w:t xml:space="preserve">the timing error could be affected by the adhering liquid, the evaporation and </w:t>
      </w:r>
      <w:r w:rsidR="00506BB6">
        <w:rPr>
          <w:lang w:val="en-US"/>
        </w:rPr>
        <w:t xml:space="preserve">the </w:t>
      </w:r>
      <w:r w:rsidR="00506BB6">
        <w:t xml:space="preserve">velocity profile in the liquid </w:t>
      </w:r>
      <w:r w:rsidR="00506BB6">
        <w:rPr>
          <w:rFonts w:hint="eastAsia"/>
          <w:lang w:eastAsia="ja-JP"/>
        </w:rPr>
        <w:t>which</w:t>
      </w:r>
      <w:r w:rsidR="00506BB6">
        <w:t xml:space="preserve"> depends on the viscosity.</w:t>
      </w:r>
    </w:p>
    <w:p w:rsidR="00005E57" w:rsidRDefault="00005E57" w:rsidP="00FB4C6C">
      <w:pPr>
        <w:pStyle w:val="a4"/>
        <w:rPr>
          <w:lang w:val="en-US" w:eastAsia="ja-JP"/>
        </w:rPr>
      </w:pPr>
    </w:p>
    <w:p w:rsidR="00225C0B" w:rsidRDefault="00225C0B" w:rsidP="00FB4C6C">
      <w:pPr>
        <w:pStyle w:val="a4"/>
        <w:rPr>
          <w:lang w:val="en-US" w:eastAsia="ja-JP"/>
        </w:rPr>
      </w:pPr>
      <w:r w:rsidRPr="00225C0B">
        <w:rPr>
          <w:lang w:val="en-US"/>
        </w:rPr>
        <w:t>In th</w:t>
      </w:r>
      <w:r w:rsidR="001A3DE5">
        <w:rPr>
          <w:lang w:val="en-US"/>
        </w:rPr>
        <w:t xml:space="preserve">is study, the effects of </w:t>
      </w:r>
      <w:r w:rsidR="001A3DE5">
        <w:rPr>
          <w:rFonts w:hint="eastAsia"/>
          <w:lang w:val="en-US" w:eastAsia="ja-JP"/>
        </w:rPr>
        <w:t>difference in</w:t>
      </w:r>
      <w:r w:rsidRPr="00225C0B">
        <w:rPr>
          <w:lang w:val="en-US"/>
        </w:rPr>
        <w:t xml:space="preserve"> the liquid properties of the working liquid on the double wing diverter and the weighing tank system were investigated experimentally.</w:t>
      </w:r>
      <w:r w:rsidR="00FB4C6C">
        <w:rPr>
          <w:rFonts w:hint="eastAsia"/>
          <w:lang w:val="en-US" w:eastAsia="ja-JP"/>
        </w:rPr>
        <w:t xml:space="preserve"> A</w:t>
      </w:r>
      <w:r w:rsidR="00FB4C6C">
        <w:rPr>
          <w:lang w:val="en-US"/>
        </w:rPr>
        <w:t>n uncertainty</w:t>
      </w:r>
      <w:r w:rsidRPr="00225C0B">
        <w:rPr>
          <w:lang w:val="en-US"/>
        </w:rPr>
        <w:t xml:space="preserve"> </w:t>
      </w:r>
      <w:r w:rsidR="00FB4C6C">
        <w:rPr>
          <w:rFonts w:hint="eastAsia"/>
          <w:lang w:val="en-US" w:eastAsia="ja-JP"/>
        </w:rPr>
        <w:t xml:space="preserve">was evaluated </w:t>
      </w:r>
      <w:r w:rsidR="00FB4C6C" w:rsidRPr="00225C0B">
        <w:rPr>
          <w:lang w:val="en-US"/>
        </w:rPr>
        <w:t>over a wide viscosity range</w:t>
      </w:r>
      <w:r w:rsidRPr="00225C0B">
        <w:rPr>
          <w:lang w:val="en-US"/>
        </w:rPr>
        <w:t xml:space="preserve">. </w:t>
      </w:r>
      <w:r w:rsidR="00005E57">
        <w:rPr>
          <w:rFonts w:hint="eastAsia"/>
          <w:lang w:val="en-US" w:eastAsia="ja-JP"/>
        </w:rPr>
        <w:t xml:space="preserve"> </w:t>
      </w:r>
    </w:p>
    <w:p w:rsidR="00AB7073" w:rsidRPr="00225C0B" w:rsidRDefault="00AB7073" w:rsidP="00FB4C6C">
      <w:pPr>
        <w:pStyle w:val="a4"/>
        <w:rPr>
          <w:lang w:val="en-US" w:eastAsia="ja-JP"/>
        </w:rPr>
      </w:pPr>
    </w:p>
    <w:p w:rsidR="00AB7073" w:rsidRDefault="00AB7073" w:rsidP="00AB7073">
      <w:pPr>
        <w:pStyle w:val="a4"/>
        <w:jc w:val="center"/>
        <w:rPr>
          <w:sz w:val="16"/>
          <w:lang w:eastAsia="ja-JP"/>
        </w:rPr>
      </w:pPr>
      <w:r w:rsidRPr="00904C8C">
        <w:rPr>
          <w:noProof/>
          <w:lang w:val="en-US" w:eastAsia="ja-JP"/>
        </w:rPr>
        <w:drawing>
          <wp:inline distT="0" distB="0" distL="0" distR="0" wp14:anchorId="4D842D68" wp14:editId="62CED85A">
            <wp:extent cx="2754244" cy="2298700"/>
            <wp:effectExtent l="0" t="0" r="8255"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3989" cy="2298488"/>
                    </a:xfrm>
                    <a:prstGeom prst="rect">
                      <a:avLst/>
                    </a:prstGeom>
                    <a:noFill/>
                    <a:ln>
                      <a:noFill/>
                    </a:ln>
                  </pic:spPr>
                </pic:pic>
              </a:graphicData>
            </a:graphic>
          </wp:inline>
        </w:drawing>
      </w:r>
    </w:p>
    <w:p w:rsidR="00AB7073" w:rsidRDefault="00AB7073" w:rsidP="00AB7073">
      <w:pPr>
        <w:pStyle w:val="a3"/>
        <w:jc w:val="left"/>
        <w:rPr>
          <w:lang w:eastAsia="ja-JP"/>
        </w:rPr>
      </w:pPr>
      <w:r>
        <w:t xml:space="preserve">Figure </w:t>
      </w:r>
      <w:r>
        <w:rPr>
          <w:rFonts w:hint="eastAsia"/>
          <w:lang w:eastAsia="ja-JP"/>
        </w:rPr>
        <w:t>1</w:t>
      </w:r>
      <w:r>
        <w:t xml:space="preserve">: </w:t>
      </w:r>
      <w:r w:rsidRPr="00CD34E4">
        <w:rPr>
          <w:b w:val="0"/>
        </w:rPr>
        <w:t xml:space="preserve"> Overview of calibration facil</w:t>
      </w:r>
      <w:r>
        <w:rPr>
          <w:b w:val="0"/>
        </w:rPr>
        <w:t>ity for medium hydrocarbon flow</w:t>
      </w:r>
      <w:r w:rsidRPr="008357DD">
        <w:rPr>
          <w:b w:val="0"/>
        </w:rPr>
        <w:t>.</w:t>
      </w:r>
    </w:p>
    <w:p w:rsidR="00FB4C6C" w:rsidRDefault="00FB4C6C" w:rsidP="00904C8C">
      <w:pPr>
        <w:pStyle w:val="a3"/>
        <w:jc w:val="left"/>
        <w:rPr>
          <w:lang w:eastAsia="ja-JP"/>
        </w:rPr>
      </w:pPr>
    </w:p>
    <w:p w:rsidR="005F2C46" w:rsidRDefault="005F2C46">
      <w:pPr>
        <w:pStyle w:val="1"/>
      </w:pPr>
      <w:r>
        <w:t xml:space="preserve">2. </w:t>
      </w:r>
      <w:r w:rsidR="001E1ED1" w:rsidRPr="001E1ED1">
        <w:t>Specifications of calibration facility</w:t>
      </w:r>
    </w:p>
    <w:p w:rsidR="00F62060" w:rsidRDefault="00F62060">
      <w:pPr>
        <w:pStyle w:val="a4"/>
        <w:rPr>
          <w:i/>
        </w:rPr>
      </w:pPr>
    </w:p>
    <w:p w:rsidR="00F62060" w:rsidRPr="00F62060" w:rsidRDefault="00F62060">
      <w:pPr>
        <w:pStyle w:val="a4"/>
        <w:rPr>
          <w:i/>
          <w:lang w:eastAsia="ja-JP"/>
        </w:rPr>
      </w:pPr>
      <w:r w:rsidRPr="00F62060">
        <w:rPr>
          <w:i/>
        </w:rPr>
        <w:t>2.1</w:t>
      </w:r>
      <w:r>
        <w:rPr>
          <w:i/>
        </w:rPr>
        <w:t xml:space="preserve"> </w:t>
      </w:r>
      <w:r w:rsidR="0082370F">
        <w:rPr>
          <w:rFonts w:hint="eastAsia"/>
          <w:i/>
          <w:lang w:eastAsia="ja-JP"/>
        </w:rPr>
        <w:t>Calibration facility</w:t>
      </w:r>
    </w:p>
    <w:p w:rsidR="00F62060" w:rsidRDefault="001E1ED1" w:rsidP="0031790E">
      <w:pPr>
        <w:pStyle w:val="a4"/>
        <w:rPr>
          <w:lang w:eastAsia="ja-JP"/>
        </w:rPr>
      </w:pPr>
      <w:r w:rsidRPr="001E1ED1">
        <w:t>An overview and a schematic diagram of the medium hydrocarbon flow calibration facility are shown in Fig</w:t>
      </w:r>
      <w:r>
        <w:rPr>
          <w:rFonts w:hint="eastAsia"/>
          <w:lang w:eastAsia="ja-JP"/>
        </w:rPr>
        <w:t>ure</w:t>
      </w:r>
      <w:r w:rsidRPr="001E1ED1">
        <w:t xml:space="preserve"> </w:t>
      </w:r>
      <w:r w:rsidR="0031790E">
        <w:rPr>
          <w:rFonts w:hint="eastAsia"/>
          <w:lang w:eastAsia="ja-JP"/>
        </w:rPr>
        <w:t>1</w:t>
      </w:r>
      <w:r w:rsidR="00CD34E4">
        <w:rPr>
          <w:rFonts w:hint="eastAsia"/>
          <w:lang w:eastAsia="ja-JP"/>
        </w:rPr>
        <w:t xml:space="preserve"> and 2</w:t>
      </w:r>
      <w:r w:rsidR="0082370F">
        <w:rPr>
          <w:rFonts w:hint="eastAsia"/>
          <w:lang w:eastAsia="ja-JP"/>
        </w:rPr>
        <w:t xml:space="preserve"> </w:t>
      </w:r>
      <w:r w:rsidR="0082370F">
        <w:rPr>
          <w:lang w:eastAsia="ja-JP"/>
        </w:rPr>
        <w:fldChar w:fldCharType="begin"/>
      </w:r>
      <w:r w:rsidR="0082370F">
        <w:rPr>
          <w:lang w:eastAsia="ja-JP"/>
        </w:rPr>
        <w:instrText xml:space="preserve"> </w:instrText>
      </w:r>
      <w:r w:rsidR="0082370F">
        <w:rPr>
          <w:rFonts w:hint="eastAsia"/>
          <w:lang w:eastAsia="ja-JP"/>
        </w:rPr>
        <w:instrText>REF _Ref458860685 \r \h</w:instrText>
      </w:r>
      <w:r w:rsidR="0082370F">
        <w:rPr>
          <w:lang w:eastAsia="ja-JP"/>
        </w:rPr>
        <w:instrText xml:space="preserve"> </w:instrText>
      </w:r>
      <w:r w:rsidR="0082370F">
        <w:rPr>
          <w:lang w:eastAsia="ja-JP"/>
        </w:rPr>
      </w:r>
      <w:r w:rsidR="0082370F">
        <w:rPr>
          <w:lang w:eastAsia="ja-JP"/>
        </w:rPr>
        <w:fldChar w:fldCharType="separate"/>
      </w:r>
      <w:r w:rsidR="00BA2C13">
        <w:rPr>
          <w:lang w:eastAsia="ja-JP"/>
        </w:rPr>
        <w:t>[5]</w:t>
      </w:r>
      <w:r w:rsidR="0082370F">
        <w:rPr>
          <w:lang w:eastAsia="ja-JP"/>
        </w:rPr>
        <w:fldChar w:fldCharType="end"/>
      </w:r>
      <w:r w:rsidRPr="001E1ED1">
        <w:t>. The specifications of the facility are given in Table 1. The calibration principle is the static weighing method with flying start and finish. The weighing tank system, the diverter, and the flow nozzles for the diverter were designed based on techn</w:t>
      </w:r>
      <w:r w:rsidR="003D6C32">
        <w:t>ique</w:t>
      </w:r>
      <w:r w:rsidR="003D6C32">
        <w:rPr>
          <w:rFonts w:hint="eastAsia"/>
          <w:lang w:eastAsia="ja-JP"/>
        </w:rPr>
        <w:t xml:space="preserve"> described in the previous paper</w:t>
      </w:r>
      <w:r w:rsidR="0031790E">
        <w:t xml:space="preserve"> </w:t>
      </w:r>
      <w:r w:rsidR="0031790E">
        <w:fldChar w:fldCharType="begin"/>
      </w:r>
      <w:r w:rsidR="0031790E">
        <w:instrText xml:space="preserve"> REF _Ref458860739 \r \h </w:instrText>
      </w:r>
      <w:r w:rsidR="0031790E">
        <w:fldChar w:fldCharType="separate"/>
      </w:r>
      <w:r w:rsidR="00BA2C13">
        <w:t>[4]</w:t>
      </w:r>
      <w:r w:rsidR="0031790E">
        <w:fldChar w:fldCharType="end"/>
      </w:r>
      <w:r w:rsidRPr="001E1ED1">
        <w:t>.</w:t>
      </w:r>
    </w:p>
    <w:p w:rsidR="00506BB6" w:rsidRDefault="00506BB6" w:rsidP="00506BB6">
      <w:pPr>
        <w:pStyle w:val="a4"/>
        <w:rPr>
          <w:sz w:val="16"/>
          <w:lang w:eastAsia="ja-JP"/>
        </w:rPr>
      </w:pPr>
    </w:p>
    <w:p w:rsidR="0031790E" w:rsidRDefault="00CD34E4" w:rsidP="0031790E">
      <w:pPr>
        <w:pStyle w:val="a4"/>
        <w:rPr>
          <w:sz w:val="16"/>
          <w:lang w:eastAsia="ja-JP"/>
        </w:rPr>
      </w:pPr>
      <w:r w:rsidRPr="00CD34E4">
        <w:rPr>
          <w:rFonts w:hint="eastAsia"/>
          <w:noProof/>
          <w:lang w:val="en-US" w:eastAsia="ja-JP"/>
        </w:rPr>
        <w:drawing>
          <wp:inline distT="0" distB="0" distL="0" distR="0" wp14:anchorId="50F4C268" wp14:editId="58D2FE73">
            <wp:extent cx="2880360" cy="1847630"/>
            <wp:effectExtent l="0" t="0" r="0" b="63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360" cy="1847630"/>
                    </a:xfrm>
                    <a:prstGeom prst="rect">
                      <a:avLst/>
                    </a:prstGeom>
                    <a:noFill/>
                    <a:ln>
                      <a:noFill/>
                    </a:ln>
                  </pic:spPr>
                </pic:pic>
              </a:graphicData>
            </a:graphic>
          </wp:inline>
        </w:drawing>
      </w:r>
    </w:p>
    <w:p w:rsidR="00904C8C" w:rsidRPr="008357DD" w:rsidRDefault="00904C8C" w:rsidP="0031790E">
      <w:pPr>
        <w:pStyle w:val="a4"/>
        <w:rPr>
          <w:sz w:val="16"/>
          <w:lang w:eastAsia="ja-JP"/>
        </w:rPr>
      </w:pPr>
    </w:p>
    <w:p w:rsidR="0031790E" w:rsidRDefault="0031790E" w:rsidP="0031790E">
      <w:pPr>
        <w:pStyle w:val="a3"/>
        <w:jc w:val="left"/>
      </w:pPr>
      <w:r>
        <w:t xml:space="preserve">Figure </w:t>
      </w:r>
      <w:r w:rsidR="00E247B1">
        <w:rPr>
          <w:rFonts w:hint="eastAsia"/>
          <w:lang w:eastAsia="ja-JP"/>
        </w:rPr>
        <w:t>2</w:t>
      </w:r>
      <w:r>
        <w:t xml:space="preserve">: </w:t>
      </w:r>
      <w:r w:rsidR="00CD34E4" w:rsidRPr="00CD34E4">
        <w:rPr>
          <w:b w:val="0"/>
        </w:rPr>
        <w:t xml:space="preserve"> Schematic of the calibration facility.</w:t>
      </w:r>
    </w:p>
    <w:p w:rsidR="0031790E" w:rsidRDefault="0031790E" w:rsidP="0031790E">
      <w:pPr>
        <w:pStyle w:val="a4"/>
        <w:rPr>
          <w:lang w:eastAsia="ja-JP"/>
        </w:rPr>
      </w:pPr>
    </w:p>
    <w:p w:rsidR="0031790E" w:rsidRPr="00FF2D4B" w:rsidRDefault="0031790E" w:rsidP="0031790E">
      <w:pPr>
        <w:pStyle w:val="a4"/>
        <w:jc w:val="left"/>
        <w:rPr>
          <w:sz w:val="16"/>
          <w:lang w:eastAsia="ja-JP"/>
        </w:rPr>
      </w:pPr>
      <w:r w:rsidRPr="00FF2D4B">
        <w:rPr>
          <w:b/>
          <w:sz w:val="16"/>
        </w:rPr>
        <w:t>Table 1</w:t>
      </w:r>
      <w:r>
        <w:rPr>
          <w:b/>
          <w:sz w:val="16"/>
        </w:rPr>
        <w:t xml:space="preserve">: </w:t>
      </w:r>
      <w:r w:rsidR="00CD34E4" w:rsidRPr="00CD34E4">
        <w:rPr>
          <w:sz w:val="16"/>
        </w:rPr>
        <w:t>Specifications of the medium hydrocarbon flow facility</w:t>
      </w:r>
      <w:r w:rsidR="00CD34E4">
        <w:rPr>
          <w:rFonts w:hint="eastAsia"/>
          <w:sz w:val="16"/>
          <w:lang w:eastAsia="ja-JP"/>
        </w:rPr>
        <w:t>.</w:t>
      </w:r>
    </w:p>
    <w:tbl>
      <w:tblPr>
        <w:tblW w:w="4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09"/>
        <w:gridCol w:w="2693"/>
      </w:tblGrid>
      <w:tr w:rsidR="0031790E" w:rsidTr="009A6A4D">
        <w:tc>
          <w:tcPr>
            <w:tcW w:w="1843" w:type="dxa"/>
            <w:gridSpan w:val="2"/>
            <w:vAlign w:val="center"/>
          </w:tcPr>
          <w:p w:rsidR="0031790E" w:rsidRPr="00CD34E4" w:rsidRDefault="00CD34E4" w:rsidP="009A6A4D">
            <w:pPr>
              <w:widowControl w:val="0"/>
              <w:jc w:val="both"/>
              <w:rPr>
                <w:rFonts w:eastAsia="ＭＳ 明朝"/>
                <w:b/>
                <w:bCs/>
                <w:kern w:val="2"/>
                <w:sz w:val="16"/>
                <w:lang w:eastAsia="ja-JP"/>
              </w:rPr>
            </w:pPr>
            <w:r w:rsidRPr="00CD34E4">
              <w:rPr>
                <w:rFonts w:eastAsia="ＭＳ 明朝" w:hint="eastAsia"/>
                <w:b/>
                <w:bCs/>
                <w:kern w:val="2"/>
                <w:sz w:val="16"/>
                <w:lang w:eastAsia="ja-JP"/>
              </w:rPr>
              <w:t>Item</w:t>
            </w:r>
          </w:p>
        </w:tc>
        <w:tc>
          <w:tcPr>
            <w:tcW w:w="2693" w:type="dxa"/>
            <w:vAlign w:val="center"/>
          </w:tcPr>
          <w:p w:rsidR="0031790E" w:rsidRPr="00CD34E4" w:rsidRDefault="0031790E" w:rsidP="00CD34E4">
            <w:pPr>
              <w:jc w:val="both"/>
              <w:rPr>
                <w:rFonts w:eastAsia="ＭＳ 明朝"/>
                <w:b/>
                <w:bCs/>
                <w:sz w:val="16"/>
                <w:lang w:eastAsia="ja-JP"/>
              </w:rPr>
            </w:pPr>
            <w:r w:rsidRPr="00CD34E4">
              <w:rPr>
                <w:b/>
                <w:sz w:val="16"/>
              </w:rPr>
              <w:t>S</w:t>
            </w:r>
            <w:r w:rsidR="00CD34E4" w:rsidRPr="00CD34E4">
              <w:rPr>
                <w:rFonts w:hint="eastAsia"/>
                <w:b/>
                <w:sz w:val="16"/>
                <w:lang w:eastAsia="ja-JP"/>
              </w:rPr>
              <w:t>pecification</w:t>
            </w:r>
          </w:p>
        </w:tc>
      </w:tr>
      <w:tr w:rsidR="00CD34E4" w:rsidTr="009A6A4D">
        <w:tc>
          <w:tcPr>
            <w:tcW w:w="1843" w:type="dxa"/>
            <w:gridSpan w:val="2"/>
            <w:vAlign w:val="center"/>
          </w:tcPr>
          <w:p w:rsidR="00CD34E4" w:rsidRPr="001E1ED1" w:rsidRDefault="00CD34E4" w:rsidP="009A6A4D">
            <w:pPr>
              <w:widowControl w:val="0"/>
              <w:jc w:val="both"/>
              <w:rPr>
                <w:rFonts w:eastAsia="ＭＳ 明朝"/>
                <w:bCs/>
                <w:kern w:val="2"/>
                <w:sz w:val="16"/>
              </w:rPr>
            </w:pPr>
            <w:r w:rsidRPr="001E1ED1">
              <w:rPr>
                <w:rFonts w:eastAsia="ＭＳ 明朝"/>
                <w:bCs/>
                <w:sz w:val="16"/>
              </w:rPr>
              <w:t>Calibration method</w:t>
            </w:r>
          </w:p>
        </w:tc>
        <w:tc>
          <w:tcPr>
            <w:tcW w:w="2693" w:type="dxa"/>
            <w:vAlign w:val="center"/>
          </w:tcPr>
          <w:p w:rsidR="00CD34E4" w:rsidRPr="001E1ED1" w:rsidRDefault="00CD34E4" w:rsidP="009A6A4D">
            <w:pPr>
              <w:jc w:val="both"/>
              <w:rPr>
                <w:rFonts w:eastAsia="ＭＳ 明朝"/>
                <w:bCs/>
                <w:sz w:val="16"/>
              </w:rPr>
            </w:pPr>
            <w:r w:rsidRPr="001E1ED1">
              <w:rPr>
                <w:sz w:val="16"/>
              </w:rPr>
              <w:t>Static weighing method with flying start and finish</w:t>
            </w:r>
          </w:p>
        </w:tc>
      </w:tr>
      <w:tr w:rsidR="00CD34E4" w:rsidTr="009A6A4D">
        <w:tc>
          <w:tcPr>
            <w:tcW w:w="1843" w:type="dxa"/>
            <w:gridSpan w:val="2"/>
            <w:vAlign w:val="center"/>
          </w:tcPr>
          <w:p w:rsidR="00CD34E4" w:rsidRPr="001E1ED1" w:rsidRDefault="00CD34E4" w:rsidP="009A6A4D">
            <w:pPr>
              <w:widowControl w:val="0"/>
              <w:jc w:val="both"/>
              <w:rPr>
                <w:rFonts w:eastAsia="ＭＳ 明朝"/>
                <w:bCs/>
                <w:kern w:val="2"/>
                <w:sz w:val="16"/>
              </w:rPr>
            </w:pPr>
            <w:r w:rsidRPr="001E1ED1">
              <w:rPr>
                <w:rFonts w:eastAsia="ＭＳ 明朝"/>
                <w:bCs/>
                <w:sz w:val="16"/>
              </w:rPr>
              <w:t xml:space="preserve">Diverter </w:t>
            </w:r>
          </w:p>
        </w:tc>
        <w:tc>
          <w:tcPr>
            <w:tcW w:w="2693" w:type="dxa"/>
            <w:vAlign w:val="center"/>
          </w:tcPr>
          <w:p w:rsidR="00CD34E4" w:rsidRPr="001E1ED1" w:rsidRDefault="00CD34E4" w:rsidP="009A6A4D">
            <w:pPr>
              <w:jc w:val="both"/>
              <w:rPr>
                <w:sz w:val="16"/>
              </w:rPr>
            </w:pPr>
            <w:r w:rsidRPr="001E1ED1">
              <w:rPr>
                <w:sz w:val="16"/>
              </w:rPr>
              <w:t>Rotary-type double-wing diverter</w:t>
            </w:r>
          </w:p>
        </w:tc>
      </w:tr>
      <w:tr w:rsidR="00CD34E4" w:rsidTr="009A6A4D">
        <w:tc>
          <w:tcPr>
            <w:tcW w:w="1843" w:type="dxa"/>
            <w:gridSpan w:val="2"/>
            <w:vAlign w:val="center"/>
          </w:tcPr>
          <w:p w:rsidR="00CD34E4" w:rsidRPr="001E1ED1" w:rsidRDefault="00CD34E4" w:rsidP="009A6A4D">
            <w:pPr>
              <w:widowControl w:val="0"/>
              <w:jc w:val="both"/>
              <w:rPr>
                <w:rFonts w:eastAsia="ＭＳ 明朝"/>
                <w:bCs/>
                <w:kern w:val="2"/>
                <w:sz w:val="16"/>
              </w:rPr>
            </w:pPr>
            <w:r w:rsidRPr="001E1ED1">
              <w:rPr>
                <w:rFonts w:eastAsia="ＭＳ 明朝"/>
                <w:bCs/>
                <w:sz w:val="16"/>
              </w:rPr>
              <w:t>Flow rate at test section</w:t>
            </w:r>
          </w:p>
        </w:tc>
        <w:tc>
          <w:tcPr>
            <w:tcW w:w="2693" w:type="dxa"/>
            <w:vAlign w:val="center"/>
          </w:tcPr>
          <w:p w:rsidR="00CD34E4" w:rsidRPr="001E1ED1" w:rsidRDefault="00CD34E4" w:rsidP="009A6A4D">
            <w:pPr>
              <w:jc w:val="both"/>
              <w:rPr>
                <w:rFonts w:eastAsia="ＭＳ 明朝"/>
                <w:bCs/>
                <w:sz w:val="16"/>
              </w:rPr>
            </w:pPr>
            <w:r w:rsidRPr="001E1ED1">
              <w:rPr>
                <w:rFonts w:eastAsia="ＭＳ 明朝"/>
                <w:bCs/>
                <w:sz w:val="16"/>
              </w:rPr>
              <w:t>0.1–15 m</w:t>
            </w:r>
            <w:r w:rsidRPr="001E1ED1">
              <w:rPr>
                <w:rFonts w:eastAsia="ＭＳ 明朝"/>
                <w:bCs/>
                <w:sz w:val="16"/>
                <w:vertAlign w:val="superscript"/>
              </w:rPr>
              <w:t>3</w:t>
            </w:r>
            <w:r w:rsidRPr="001E1ED1">
              <w:rPr>
                <w:rFonts w:eastAsia="ＭＳ 明朝"/>
                <w:bCs/>
                <w:sz w:val="16"/>
              </w:rPr>
              <w:t xml:space="preserve">/h </w:t>
            </w:r>
            <w:r w:rsidRPr="001E1ED1">
              <w:rPr>
                <w:rFonts w:cs="Arial"/>
                <w:sz w:val="16"/>
              </w:rPr>
              <w:t>(0.02–3.2 kg/s)</w:t>
            </w:r>
          </w:p>
        </w:tc>
      </w:tr>
      <w:tr w:rsidR="00964C51" w:rsidTr="00964C51">
        <w:tc>
          <w:tcPr>
            <w:tcW w:w="1134" w:type="dxa"/>
            <w:vMerge w:val="restart"/>
            <w:vAlign w:val="center"/>
          </w:tcPr>
          <w:p w:rsidR="00964C51" w:rsidRPr="001E1ED1" w:rsidRDefault="00964C51" w:rsidP="00964C51">
            <w:pPr>
              <w:rPr>
                <w:rFonts w:eastAsia="ＭＳ 明朝"/>
                <w:bCs/>
                <w:sz w:val="16"/>
              </w:rPr>
            </w:pPr>
            <w:r>
              <w:rPr>
                <w:rFonts w:eastAsia="ＭＳ 明朝" w:hint="eastAsia"/>
                <w:bCs/>
                <w:sz w:val="16"/>
                <w:lang w:eastAsia="ja-JP"/>
              </w:rPr>
              <w:t xml:space="preserve">Flow control lines </w:t>
            </w:r>
          </w:p>
        </w:tc>
        <w:tc>
          <w:tcPr>
            <w:tcW w:w="709" w:type="dxa"/>
            <w:vAlign w:val="center"/>
          </w:tcPr>
          <w:p w:rsidR="00964C51" w:rsidRPr="001E1ED1" w:rsidRDefault="00964C51" w:rsidP="00964C51">
            <w:pPr>
              <w:rPr>
                <w:rFonts w:eastAsia="ＭＳ 明朝"/>
                <w:bCs/>
                <w:sz w:val="16"/>
              </w:rPr>
            </w:pPr>
            <w:r w:rsidRPr="001E1ED1">
              <w:rPr>
                <w:rFonts w:eastAsia="ＭＳ 明朝"/>
                <w:bCs/>
                <w:sz w:val="16"/>
              </w:rPr>
              <w:t>Line A</w:t>
            </w:r>
          </w:p>
        </w:tc>
        <w:tc>
          <w:tcPr>
            <w:tcW w:w="2693" w:type="dxa"/>
            <w:vAlign w:val="center"/>
          </w:tcPr>
          <w:p w:rsidR="00964C51" w:rsidRPr="001E1ED1" w:rsidRDefault="00964C51" w:rsidP="009A6A4D">
            <w:pPr>
              <w:jc w:val="both"/>
              <w:rPr>
                <w:rFonts w:eastAsia="ＭＳ 明朝"/>
                <w:bCs/>
                <w:sz w:val="16"/>
              </w:rPr>
            </w:pPr>
            <w:r w:rsidRPr="001E1ED1">
              <w:rPr>
                <w:rFonts w:eastAsia="ＭＳ 明朝"/>
                <w:bCs/>
                <w:sz w:val="16"/>
              </w:rPr>
              <w:t>Flow range of 2–15 m</w:t>
            </w:r>
            <w:r w:rsidRPr="001E1ED1">
              <w:rPr>
                <w:rFonts w:eastAsia="ＭＳ 明朝"/>
                <w:bCs/>
                <w:sz w:val="16"/>
                <w:vertAlign w:val="superscript"/>
              </w:rPr>
              <w:t>3</w:t>
            </w:r>
            <w:r w:rsidRPr="001E1ED1">
              <w:rPr>
                <w:rFonts w:eastAsia="ＭＳ 明朝"/>
                <w:bCs/>
                <w:sz w:val="16"/>
              </w:rPr>
              <w:t>/h</w:t>
            </w:r>
          </w:p>
        </w:tc>
      </w:tr>
      <w:tr w:rsidR="00964C51" w:rsidTr="00964C51">
        <w:tc>
          <w:tcPr>
            <w:tcW w:w="1134" w:type="dxa"/>
            <w:vMerge/>
            <w:vAlign w:val="center"/>
          </w:tcPr>
          <w:p w:rsidR="00964C51" w:rsidRPr="001E1ED1" w:rsidRDefault="00964C51" w:rsidP="009A6A4D">
            <w:pPr>
              <w:ind w:firstLineChars="100" w:firstLine="160"/>
              <w:rPr>
                <w:rFonts w:eastAsia="ＭＳ 明朝"/>
                <w:bCs/>
                <w:sz w:val="16"/>
              </w:rPr>
            </w:pPr>
          </w:p>
        </w:tc>
        <w:tc>
          <w:tcPr>
            <w:tcW w:w="709" w:type="dxa"/>
            <w:vAlign w:val="center"/>
          </w:tcPr>
          <w:p w:rsidR="00964C51" w:rsidRPr="001E1ED1" w:rsidRDefault="00964C51" w:rsidP="00964C51">
            <w:pPr>
              <w:rPr>
                <w:rFonts w:eastAsia="ＭＳ 明朝"/>
                <w:bCs/>
                <w:sz w:val="16"/>
              </w:rPr>
            </w:pPr>
            <w:r w:rsidRPr="001E1ED1">
              <w:rPr>
                <w:rFonts w:eastAsia="ＭＳ 明朝"/>
                <w:bCs/>
                <w:sz w:val="16"/>
              </w:rPr>
              <w:t>Line B</w:t>
            </w:r>
          </w:p>
        </w:tc>
        <w:tc>
          <w:tcPr>
            <w:tcW w:w="2693" w:type="dxa"/>
            <w:vAlign w:val="center"/>
          </w:tcPr>
          <w:p w:rsidR="00964C51" w:rsidRPr="001E1ED1" w:rsidRDefault="00964C51" w:rsidP="009A6A4D">
            <w:pPr>
              <w:jc w:val="both"/>
              <w:rPr>
                <w:rFonts w:eastAsia="ＭＳ 明朝"/>
                <w:bCs/>
                <w:sz w:val="16"/>
              </w:rPr>
            </w:pPr>
            <w:r w:rsidRPr="001E1ED1">
              <w:rPr>
                <w:rFonts w:eastAsia="ＭＳ 明朝"/>
                <w:bCs/>
                <w:sz w:val="16"/>
              </w:rPr>
              <w:t>Flow range of 0.18–2 m</w:t>
            </w:r>
            <w:r w:rsidRPr="001E1ED1">
              <w:rPr>
                <w:rFonts w:eastAsia="ＭＳ 明朝"/>
                <w:bCs/>
                <w:sz w:val="16"/>
                <w:vertAlign w:val="superscript"/>
              </w:rPr>
              <w:t>3</w:t>
            </w:r>
            <w:r w:rsidRPr="001E1ED1">
              <w:rPr>
                <w:rFonts w:eastAsia="ＭＳ 明朝"/>
                <w:bCs/>
                <w:sz w:val="16"/>
              </w:rPr>
              <w:t>/h</w:t>
            </w:r>
          </w:p>
        </w:tc>
      </w:tr>
      <w:tr w:rsidR="00964C51" w:rsidTr="00964C51">
        <w:tc>
          <w:tcPr>
            <w:tcW w:w="1134" w:type="dxa"/>
            <w:vMerge/>
            <w:vAlign w:val="center"/>
          </w:tcPr>
          <w:p w:rsidR="00964C51" w:rsidRPr="001E1ED1" w:rsidRDefault="00964C51" w:rsidP="009A6A4D">
            <w:pPr>
              <w:ind w:firstLineChars="100" w:firstLine="160"/>
              <w:rPr>
                <w:rFonts w:eastAsia="ＭＳ 明朝"/>
                <w:bCs/>
                <w:sz w:val="16"/>
              </w:rPr>
            </w:pPr>
          </w:p>
        </w:tc>
        <w:tc>
          <w:tcPr>
            <w:tcW w:w="709" w:type="dxa"/>
            <w:vAlign w:val="center"/>
          </w:tcPr>
          <w:p w:rsidR="00964C51" w:rsidRPr="001E1ED1" w:rsidRDefault="00964C51" w:rsidP="00964C51">
            <w:pPr>
              <w:rPr>
                <w:rFonts w:eastAsia="ＭＳ 明朝"/>
                <w:bCs/>
                <w:sz w:val="16"/>
              </w:rPr>
            </w:pPr>
            <w:r w:rsidRPr="001E1ED1">
              <w:rPr>
                <w:rFonts w:eastAsia="ＭＳ 明朝"/>
                <w:bCs/>
                <w:sz w:val="16"/>
              </w:rPr>
              <w:t>Line C</w:t>
            </w:r>
          </w:p>
        </w:tc>
        <w:tc>
          <w:tcPr>
            <w:tcW w:w="2693" w:type="dxa"/>
            <w:vAlign w:val="center"/>
          </w:tcPr>
          <w:p w:rsidR="00964C51" w:rsidRPr="001E1ED1" w:rsidRDefault="00964C51" w:rsidP="009A6A4D">
            <w:pPr>
              <w:jc w:val="both"/>
              <w:rPr>
                <w:rFonts w:eastAsia="ＭＳ 明朝"/>
                <w:bCs/>
                <w:sz w:val="16"/>
              </w:rPr>
            </w:pPr>
            <w:r w:rsidRPr="001E1ED1">
              <w:rPr>
                <w:rFonts w:eastAsia="ＭＳ 明朝"/>
                <w:bCs/>
                <w:sz w:val="16"/>
              </w:rPr>
              <w:t>Flow range of 0.1–0.18 m</w:t>
            </w:r>
            <w:r w:rsidRPr="001E1ED1">
              <w:rPr>
                <w:rFonts w:eastAsia="ＭＳ 明朝"/>
                <w:bCs/>
                <w:sz w:val="16"/>
                <w:vertAlign w:val="superscript"/>
              </w:rPr>
              <w:t>3</w:t>
            </w:r>
            <w:r w:rsidRPr="001E1ED1">
              <w:rPr>
                <w:rFonts w:eastAsia="ＭＳ 明朝"/>
                <w:bCs/>
                <w:sz w:val="16"/>
              </w:rPr>
              <w:t>/h</w:t>
            </w:r>
          </w:p>
        </w:tc>
      </w:tr>
      <w:tr w:rsidR="00CD34E4" w:rsidTr="009A6A4D">
        <w:tc>
          <w:tcPr>
            <w:tcW w:w="1843" w:type="dxa"/>
            <w:gridSpan w:val="2"/>
            <w:vAlign w:val="center"/>
          </w:tcPr>
          <w:p w:rsidR="00CD34E4" w:rsidRPr="001E1ED1" w:rsidRDefault="00CD34E4" w:rsidP="009A6A4D">
            <w:pPr>
              <w:rPr>
                <w:rFonts w:eastAsia="ＭＳ 明朝"/>
                <w:bCs/>
                <w:sz w:val="16"/>
              </w:rPr>
            </w:pPr>
            <w:r w:rsidRPr="001E1ED1">
              <w:rPr>
                <w:rFonts w:eastAsia="ＭＳ 明朝"/>
                <w:bCs/>
                <w:sz w:val="16"/>
              </w:rPr>
              <w:t>Weighing scale</w:t>
            </w:r>
          </w:p>
        </w:tc>
        <w:tc>
          <w:tcPr>
            <w:tcW w:w="2693" w:type="dxa"/>
            <w:vAlign w:val="center"/>
          </w:tcPr>
          <w:p w:rsidR="00CD34E4" w:rsidRPr="001E1ED1" w:rsidRDefault="00CD34E4" w:rsidP="009A6A4D">
            <w:pPr>
              <w:jc w:val="both"/>
              <w:rPr>
                <w:rFonts w:eastAsia="ＭＳ 明朝"/>
                <w:bCs/>
                <w:sz w:val="16"/>
              </w:rPr>
            </w:pPr>
            <w:r w:rsidRPr="001E1ED1">
              <w:rPr>
                <w:rFonts w:eastAsia="ＭＳ 明朝"/>
                <w:bCs/>
                <w:sz w:val="16"/>
              </w:rPr>
              <w:t>0–60 kg with 0.05 g resolution</w:t>
            </w:r>
          </w:p>
        </w:tc>
      </w:tr>
      <w:tr w:rsidR="00CD34E4" w:rsidTr="009A6A4D">
        <w:tc>
          <w:tcPr>
            <w:tcW w:w="1843" w:type="dxa"/>
            <w:gridSpan w:val="2"/>
            <w:vAlign w:val="center"/>
          </w:tcPr>
          <w:p w:rsidR="00CD34E4" w:rsidRPr="001E1ED1" w:rsidRDefault="00CD34E4" w:rsidP="009A6A4D">
            <w:pPr>
              <w:rPr>
                <w:rFonts w:eastAsia="ＭＳ 明朝"/>
                <w:bCs/>
                <w:sz w:val="16"/>
              </w:rPr>
            </w:pPr>
            <w:r w:rsidRPr="001E1ED1">
              <w:rPr>
                <w:rFonts w:eastAsia="ＭＳ 明朝"/>
                <w:bCs/>
                <w:sz w:val="16"/>
              </w:rPr>
              <w:t>Weighing tank</w:t>
            </w:r>
          </w:p>
        </w:tc>
        <w:tc>
          <w:tcPr>
            <w:tcW w:w="2693" w:type="dxa"/>
            <w:vAlign w:val="center"/>
          </w:tcPr>
          <w:p w:rsidR="00CD34E4" w:rsidRPr="001E1ED1" w:rsidRDefault="00CD34E4" w:rsidP="009A6A4D">
            <w:pPr>
              <w:jc w:val="both"/>
              <w:rPr>
                <w:rFonts w:eastAsia="ＭＳ 明朝"/>
                <w:bCs/>
                <w:sz w:val="16"/>
              </w:rPr>
            </w:pPr>
            <w:r w:rsidRPr="001E1ED1">
              <w:rPr>
                <w:rFonts w:eastAsia="ＭＳ 明朝"/>
                <w:bCs/>
                <w:sz w:val="16"/>
              </w:rPr>
              <w:t>32 kg weighing capacity with lift-up seal system</w:t>
            </w:r>
          </w:p>
        </w:tc>
      </w:tr>
      <w:tr w:rsidR="00CD34E4" w:rsidTr="009A6A4D">
        <w:tc>
          <w:tcPr>
            <w:tcW w:w="1843" w:type="dxa"/>
            <w:gridSpan w:val="2"/>
            <w:vAlign w:val="center"/>
          </w:tcPr>
          <w:p w:rsidR="00CD34E4" w:rsidRPr="001E1ED1" w:rsidRDefault="00CD34E4" w:rsidP="009A6A4D">
            <w:pPr>
              <w:rPr>
                <w:rFonts w:eastAsia="ＭＳ 明朝"/>
                <w:bCs/>
                <w:sz w:val="16"/>
              </w:rPr>
            </w:pPr>
            <w:r w:rsidRPr="001E1ED1">
              <w:rPr>
                <w:rFonts w:eastAsia="ＭＳ 明朝"/>
                <w:bCs/>
                <w:sz w:val="16"/>
              </w:rPr>
              <w:t>Dead weights</w:t>
            </w:r>
          </w:p>
        </w:tc>
        <w:tc>
          <w:tcPr>
            <w:tcW w:w="2693" w:type="dxa"/>
            <w:vAlign w:val="center"/>
          </w:tcPr>
          <w:p w:rsidR="00CD34E4" w:rsidRPr="001E1ED1" w:rsidRDefault="00CD34E4" w:rsidP="009A6A4D">
            <w:pPr>
              <w:jc w:val="both"/>
              <w:rPr>
                <w:rFonts w:eastAsia="ＭＳ 明朝"/>
                <w:bCs/>
                <w:sz w:val="16"/>
              </w:rPr>
            </w:pPr>
            <w:r w:rsidRPr="001E1ED1">
              <w:rPr>
                <w:rFonts w:eastAsia="ＭＳ 明朝"/>
                <w:bCs/>
                <w:sz w:val="16"/>
              </w:rPr>
              <w:t xml:space="preserve">316 stainless steel: 10 kg </w:t>
            </w:r>
            <w:r w:rsidRPr="001E1ED1">
              <w:rPr>
                <w:sz w:val="16"/>
              </w:rPr>
              <w:t>× 6 weights</w:t>
            </w:r>
          </w:p>
        </w:tc>
      </w:tr>
      <w:tr w:rsidR="00CD34E4" w:rsidTr="009A6A4D">
        <w:tc>
          <w:tcPr>
            <w:tcW w:w="1843" w:type="dxa"/>
            <w:gridSpan w:val="2"/>
            <w:vAlign w:val="center"/>
          </w:tcPr>
          <w:p w:rsidR="00CD34E4" w:rsidRPr="001E1ED1" w:rsidRDefault="00CD34E4" w:rsidP="009A6A4D">
            <w:pPr>
              <w:rPr>
                <w:rFonts w:eastAsia="ＭＳ 明朝"/>
                <w:bCs/>
                <w:sz w:val="16"/>
              </w:rPr>
            </w:pPr>
            <w:r w:rsidRPr="001E1ED1">
              <w:rPr>
                <w:rFonts w:eastAsia="ＭＳ 明朝"/>
                <w:bCs/>
                <w:sz w:val="16"/>
              </w:rPr>
              <w:t>Temperature range</w:t>
            </w:r>
          </w:p>
        </w:tc>
        <w:tc>
          <w:tcPr>
            <w:tcW w:w="2693" w:type="dxa"/>
            <w:vAlign w:val="center"/>
          </w:tcPr>
          <w:p w:rsidR="00CD34E4" w:rsidRPr="001E1ED1" w:rsidRDefault="00CD34E4" w:rsidP="009A6A4D">
            <w:pPr>
              <w:jc w:val="both"/>
              <w:rPr>
                <w:rFonts w:eastAsia="ＭＳ 明朝"/>
                <w:sz w:val="16"/>
              </w:rPr>
            </w:pPr>
            <w:r w:rsidRPr="001E1ED1">
              <w:rPr>
                <w:rFonts w:eastAsia="ＭＳ 明朝"/>
                <w:bCs/>
                <w:sz w:val="16"/>
              </w:rPr>
              <w:t>15–</w:t>
            </w:r>
            <w:r w:rsidRPr="001E1ED1">
              <w:rPr>
                <w:rFonts w:eastAsia="ＭＳ 明朝"/>
                <w:sz w:val="16"/>
              </w:rPr>
              <w:t xml:space="preserve">35 </w:t>
            </w:r>
            <w:r w:rsidRPr="001E1ED1">
              <w:rPr>
                <w:rFonts w:eastAsia="ＭＳ 明朝"/>
                <w:sz w:val="16"/>
              </w:rPr>
              <w:sym w:font="Symbol" w:char="F0B0"/>
            </w:r>
            <w:r w:rsidRPr="001E1ED1">
              <w:rPr>
                <w:rFonts w:eastAsia="ＭＳ 明朝"/>
                <w:sz w:val="16"/>
              </w:rPr>
              <w:t>C (spindle oil, light oil, and kerosene)</w:t>
            </w:r>
          </w:p>
          <w:p w:rsidR="00CD34E4" w:rsidRPr="001E1ED1" w:rsidRDefault="00CD34E4" w:rsidP="009A6A4D">
            <w:pPr>
              <w:jc w:val="both"/>
              <w:rPr>
                <w:rFonts w:eastAsia="ＭＳ 明朝"/>
                <w:bCs/>
                <w:sz w:val="16"/>
              </w:rPr>
            </w:pPr>
            <w:r w:rsidRPr="001E1ED1">
              <w:rPr>
                <w:rFonts w:eastAsia="ＭＳ 明朝"/>
                <w:sz w:val="16"/>
              </w:rPr>
              <w:t xml:space="preserve">15–20 </w:t>
            </w:r>
            <w:r w:rsidRPr="001E1ED1">
              <w:rPr>
                <w:rFonts w:eastAsia="ＭＳ 明朝"/>
                <w:sz w:val="16"/>
              </w:rPr>
              <w:sym w:font="Symbol" w:char="F0B0"/>
            </w:r>
            <w:r w:rsidRPr="001E1ED1">
              <w:rPr>
                <w:rFonts w:eastAsia="ＭＳ 明朝"/>
                <w:sz w:val="16"/>
              </w:rPr>
              <w:t>C (industrial gasoline)</w:t>
            </w:r>
          </w:p>
        </w:tc>
      </w:tr>
      <w:tr w:rsidR="00CD34E4" w:rsidTr="009A6A4D">
        <w:tc>
          <w:tcPr>
            <w:tcW w:w="1843" w:type="dxa"/>
            <w:gridSpan w:val="2"/>
            <w:vAlign w:val="center"/>
          </w:tcPr>
          <w:p w:rsidR="00CD34E4" w:rsidRPr="001E1ED1" w:rsidRDefault="00CD34E4" w:rsidP="009A6A4D">
            <w:pPr>
              <w:rPr>
                <w:rFonts w:eastAsia="ＭＳ 明朝"/>
                <w:bCs/>
                <w:sz w:val="16"/>
              </w:rPr>
            </w:pPr>
            <w:r w:rsidRPr="001E1ED1">
              <w:rPr>
                <w:rFonts w:eastAsia="ＭＳ 明朝"/>
                <w:bCs/>
                <w:sz w:val="16"/>
              </w:rPr>
              <w:t>Pressure range at test section</w:t>
            </w:r>
          </w:p>
        </w:tc>
        <w:tc>
          <w:tcPr>
            <w:tcW w:w="2693" w:type="dxa"/>
            <w:vAlign w:val="center"/>
          </w:tcPr>
          <w:p w:rsidR="00CD34E4" w:rsidRPr="001E1ED1" w:rsidRDefault="00CD34E4" w:rsidP="009A6A4D">
            <w:pPr>
              <w:jc w:val="both"/>
              <w:rPr>
                <w:rFonts w:eastAsia="ＭＳ 明朝"/>
                <w:bCs/>
                <w:sz w:val="16"/>
              </w:rPr>
            </w:pPr>
            <w:r w:rsidRPr="001E1ED1">
              <w:rPr>
                <w:rFonts w:eastAsia="ＭＳ 明朝"/>
                <w:bCs/>
                <w:sz w:val="16"/>
              </w:rPr>
              <w:t xml:space="preserve">0.3–0.7 MPa </w:t>
            </w:r>
          </w:p>
        </w:tc>
      </w:tr>
    </w:tbl>
    <w:p w:rsidR="0031790E" w:rsidRDefault="0031790E" w:rsidP="0031790E">
      <w:pPr>
        <w:pStyle w:val="a4"/>
        <w:rPr>
          <w:lang w:eastAsia="ja-JP"/>
        </w:rPr>
      </w:pPr>
    </w:p>
    <w:p w:rsidR="003D6C32" w:rsidRDefault="003D6C32" w:rsidP="0031790E">
      <w:pPr>
        <w:pStyle w:val="a4"/>
        <w:rPr>
          <w:lang w:eastAsia="ja-JP"/>
        </w:rPr>
      </w:pPr>
      <w:r w:rsidRPr="003D6C32">
        <w:rPr>
          <w:lang w:val="en-US" w:eastAsia="ja-JP"/>
        </w:rPr>
        <w:t>In the facility, the working liquids are kept in four separate tanks (1.8 m</w:t>
      </w:r>
      <w:r w:rsidRPr="003D6C32">
        <w:rPr>
          <w:vertAlign w:val="superscript"/>
          <w:lang w:val="en-US" w:eastAsia="ja-JP"/>
        </w:rPr>
        <w:t>3</w:t>
      </w:r>
      <w:r w:rsidRPr="003D6C32">
        <w:rPr>
          <w:lang w:val="en-US" w:eastAsia="ja-JP"/>
        </w:rPr>
        <w:t>). Normally, spindle oil, light oil, kerosene, and industrial gasoline can be selected as the working liquid. The abbreviations and liquid properties for the hydrocarbons are summarized in</w:t>
      </w:r>
      <w:r w:rsidR="00005E57">
        <w:rPr>
          <w:rFonts w:hint="eastAsia"/>
          <w:lang w:val="en-US" w:eastAsia="ja-JP"/>
        </w:rPr>
        <w:t xml:space="preserve"> Table 2</w:t>
      </w:r>
      <w:r w:rsidRPr="003D6C32">
        <w:rPr>
          <w:lang w:val="en-US" w:eastAsia="ja-JP"/>
        </w:rPr>
        <w:t xml:space="preserve">. The selected working liquid is transferred to a storage tank in the calibration facility. The inside of the storage tank is divided into two rooms by a wall. The working liquid is delivered from a base room to a buffer room by a pump through a cyclone and heat exchangers to remove bubbles and control the liquid temperature. The main part of the inflow to the buffer room is delivered to a header by another pump (main pump). The remainder of the working liquid overflows into the base room. The liquid level and the suction side pressure of the main pump can be kept during liquid collection and sent to a weighing tank by this overflow system inside the </w:t>
      </w:r>
      <w:r w:rsidRPr="003D6C32">
        <w:rPr>
          <w:lang w:val="en-US" w:eastAsia="ja-JP"/>
        </w:rPr>
        <w:lastRenderedPageBreak/>
        <w:t>storage tank. The working liquid is distributed to one of the test sections from the header at the selected flow rate. The remainder of flow at the header is returned to the base room through a bypass line. The flowmeter as the device under test (DUT) was set into one of the test sections. There are two test sections: a main test section and a small test section. The downstream pipe of the main test section is branched into three flow control lines (Lines A, B, and C). The specifications of the flow control lines are listed in Ta</w:t>
      </w:r>
      <w:r w:rsidR="00586AD9">
        <w:rPr>
          <w:lang w:val="en-US" w:eastAsia="ja-JP"/>
        </w:rPr>
        <w:t xml:space="preserve">ble </w:t>
      </w:r>
      <w:r w:rsidR="00586AD9">
        <w:rPr>
          <w:rFonts w:hint="eastAsia"/>
          <w:lang w:val="en-US" w:eastAsia="ja-JP"/>
        </w:rPr>
        <w:t>1</w:t>
      </w:r>
      <w:r w:rsidRPr="003D6C32">
        <w:rPr>
          <w:lang w:val="en-US" w:eastAsia="ja-JP"/>
        </w:rPr>
        <w:t xml:space="preserve">. The smallest flow control line (Line C) is </w:t>
      </w:r>
      <w:r w:rsidR="00586AD9">
        <w:rPr>
          <w:rFonts w:hint="eastAsia"/>
          <w:lang w:val="en-US" w:eastAsia="ja-JP"/>
        </w:rPr>
        <w:t xml:space="preserve">also </w:t>
      </w:r>
      <w:r w:rsidRPr="003D6C32">
        <w:rPr>
          <w:lang w:val="en-US" w:eastAsia="ja-JP"/>
        </w:rPr>
        <w:t xml:space="preserve">connected downstream from the small test section. Each flow control line has two reference </w:t>
      </w:r>
      <w:r w:rsidR="00586AD9">
        <w:rPr>
          <w:lang w:val="en-US" w:eastAsia="ja-JP"/>
        </w:rPr>
        <w:t xml:space="preserve">flowmeters, </w:t>
      </w:r>
      <w:r w:rsidR="00DC2E99">
        <w:rPr>
          <w:rFonts w:hint="eastAsia"/>
          <w:lang w:val="en-US" w:eastAsia="ja-JP"/>
        </w:rPr>
        <w:t xml:space="preserve">output signal of </w:t>
      </w:r>
      <w:r w:rsidR="00586AD9">
        <w:rPr>
          <w:lang w:val="en-US" w:eastAsia="ja-JP"/>
        </w:rPr>
        <w:t>one of which is connected</w:t>
      </w:r>
      <w:r w:rsidR="00586AD9">
        <w:rPr>
          <w:rFonts w:hint="eastAsia"/>
          <w:lang w:val="en-US" w:eastAsia="ja-JP"/>
        </w:rPr>
        <w:t xml:space="preserve"> to</w:t>
      </w:r>
      <w:r w:rsidRPr="003D6C32">
        <w:rPr>
          <w:lang w:val="en-US" w:eastAsia="ja-JP"/>
        </w:rPr>
        <w:t xml:space="preserve"> a control valve to maintain the flow rate. One of the flow control lines is selected depending on the flow rate. Lines A and B branch into two nozzle lines of different sizes. The working liquid passing through the DUT flowmeter is collected in a weighing tank through the flow control line and a diverter.</w:t>
      </w:r>
    </w:p>
    <w:p w:rsidR="003D6C32" w:rsidRDefault="003D6C32" w:rsidP="003D6C32">
      <w:pPr>
        <w:pStyle w:val="a4"/>
        <w:rPr>
          <w:lang w:eastAsia="ja-JP"/>
        </w:rPr>
      </w:pPr>
    </w:p>
    <w:p w:rsidR="003D6C32" w:rsidRPr="00FF2D4B" w:rsidRDefault="003D6C32" w:rsidP="003D6C32">
      <w:pPr>
        <w:pStyle w:val="a4"/>
        <w:jc w:val="left"/>
        <w:rPr>
          <w:sz w:val="16"/>
          <w:lang w:eastAsia="ja-JP"/>
        </w:rPr>
      </w:pPr>
      <w:r w:rsidRPr="00FF2D4B">
        <w:rPr>
          <w:b/>
          <w:sz w:val="16"/>
        </w:rPr>
        <w:t xml:space="preserve">Table </w:t>
      </w:r>
      <w:r>
        <w:rPr>
          <w:rFonts w:hint="eastAsia"/>
          <w:b/>
          <w:sz w:val="16"/>
          <w:lang w:eastAsia="ja-JP"/>
        </w:rPr>
        <w:t>2</w:t>
      </w:r>
      <w:r>
        <w:rPr>
          <w:b/>
          <w:sz w:val="16"/>
        </w:rPr>
        <w:t xml:space="preserve">: </w:t>
      </w:r>
      <w:r w:rsidRPr="003D6C32">
        <w:rPr>
          <w:sz w:val="16"/>
        </w:rPr>
        <w:t>Properties of working liquids</w:t>
      </w:r>
      <w:r>
        <w:rPr>
          <w:rFonts w:hint="eastAsia"/>
          <w:sz w:val="16"/>
          <w:lang w:eastAsia="ja-JP"/>
        </w:rPr>
        <w:t>.</w:t>
      </w:r>
    </w:p>
    <w:tbl>
      <w:tblPr>
        <w:tblW w:w="4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1134"/>
        <w:gridCol w:w="850"/>
      </w:tblGrid>
      <w:tr w:rsidR="003D6C32" w:rsidTr="003D6C32">
        <w:tc>
          <w:tcPr>
            <w:tcW w:w="1418" w:type="dxa"/>
            <w:vAlign w:val="center"/>
          </w:tcPr>
          <w:p w:rsidR="003D6C32" w:rsidRPr="003D6C32" w:rsidRDefault="003D6C32" w:rsidP="00657AEC">
            <w:pPr>
              <w:jc w:val="center"/>
              <w:rPr>
                <w:rFonts w:eastAsia="ＭＳ 明朝"/>
                <w:b/>
                <w:bCs/>
                <w:sz w:val="16"/>
              </w:rPr>
            </w:pPr>
            <w:r w:rsidRPr="003D6C32">
              <w:rPr>
                <w:rFonts w:eastAsia="ＭＳ 明朝"/>
                <w:b/>
                <w:bCs/>
                <w:sz w:val="16"/>
              </w:rPr>
              <w:t>Working liquid</w:t>
            </w:r>
          </w:p>
          <w:p w:rsidR="003D6C32" w:rsidRPr="003D6C32" w:rsidRDefault="003D6C32" w:rsidP="00657AEC">
            <w:pPr>
              <w:jc w:val="center"/>
              <w:rPr>
                <w:rFonts w:eastAsia="ＭＳ 明朝"/>
                <w:b/>
                <w:bCs/>
                <w:sz w:val="16"/>
              </w:rPr>
            </w:pPr>
            <w:r w:rsidRPr="003D6C32">
              <w:rPr>
                <w:rFonts w:eastAsia="ＭＳ 明朝"/>
                <w:b/>
                <w:bCs/>
                <w:sz w:val="16"/>
              </w:rPr>
              <w:t>(Abbreviation)</w:t>
            </w:r>
          </w:p>
        </w:tc>
        <w:tc>
          <w:tcPr>
            <w:tcW w:w="1134" w:type="dxa"/>
            <w:vAlign w:val="center"/>
          </w:tcPr>
          <w:p w:rsidR="003D6C32" w:rsidRPr="003D6C32" w:rsidRDefault="003D6C32" w:rsidP="00657AEC">
            <w:pPr>
              <w:jc w:val="center"/>
              <w:rPr>
                <w:rFonts w:eastAsia="ＭＳ 明朝"/>
                <w:b/>
                <w:bCs/>
                <w:sz w:val="16"/>
              </w:rPr>
            </w:pPr>
            <w:r w:rsidRPr="003D6C32">
              <w:rPr>
                <w:rFonts w:eastAsia="ＭＳ 明朝"/>
                <w:b/>
                <w:bCs/>
                <w:sz w:val="16"/>
              </w:rPr>
              <w:t>Temperature</w:t>
            </w:r>
          </w:p>
          <w:p w:rsidR="003D6C32" w:rsidRPr="003D6C32" w:rsidRDefault="003D6C32" w:rsidP="00657AEC">
            <w:pPr>
              <w:jc w:val="center"/>
              <w:rPr>
                <w:rFonts w:eastAsia="ＭＳ 明朝"/>
                <w:b/>
                <w:bCs/>
                <w:sz w:val="16"/>
              </w:rPr>
            </w:pPr>
            <w:r w:rsidRPr="003D6C32">
              <w:rPr>
                <w:rFonts w:eastAsia="ＭＳ 明朝"/>
                <w:b/>
                <w:bCs/>
                <w:sz w:val="16"/>
              </w:rPr>
              <w:t>(</w:t>
            </w:r>
            <w:r w:rsidRPr="003D6C32">
              <w:rPr>
                <w:rFonts w:asciiTheme="minorHAnsi" w:hAnsiTheme="minorHAnsi" w:cstheme="minorHAnsi"/>
                <w:b/>
                <w:sz w:val="16"/>
                <w:szCs w:val="21"/>
              </w:rPr>
              <w:sym w:font="Symbol" w:char="F0B0"/>
            </w:r>
            <w:r w:rsidRPr="003D6C32">
              <w:rPr>
                <w:rFonts w:asciiTheme="minorHAnsi" w:hAnsiTheme="minorHAnsi" w:cstheme="minorHAnsi"/>
                <w:b/>
                <w:sz w:val="16"/>
              </w:rPr>
              <w:t>C</w:t>
            </w:r>
            <w:r w:rsidRPr="003D6C32">
              <w:rPr>
                <w:b/>
                <w:sz w:val="16"/>
              </w:rPr>
              <w:t>)</w:t>
            </w:r>
          </w:p>
        </w:tc>
        <w:tc>
          <w:tcPr>
            <w:tcW w:w="1134" w:type="dxa"/>
            <w:vAlign w:val="center"/>
          </w:tcPr>
          <w:p w:rsidR="003D6C32" w:rsidRPr="003D6C32" w:rsidRDefault="003D6C32" w:rsidP="00657AEC">
            <w:pPr>
              <w:jc w:val="center"/>
              <w:rPr>
                <w:rFonts w:eastAsia="ＭＳ 明朝"/>
                <w:b/>
                <w:bCs/>
                <w:sz w:val="16"/>
              </w:rPr>
            </w:pPr>
            <w:r w:rsidRPr="003D6C32">
              <w:rPr>
                <w:rFonts w:eastAsia="ＭＳ 明朝"/>
                <w:b/>
                <w:bCs/>
                <w:sz w:val="16"/>
              </w:rPr>
              <w:t>Kinematic viscosity</w:t>
            </w:r>
          </w:p>
          <w:p w:rsidR="003D6C32" w:rsidRPr="003D6C32" w:rsidRDefault="003D6C32" w:rsidP="00657AEC">
            <w:pPr>
              <w:jc w:val="center"/>
              <w:rPr>
                <w:rFonts w:eastAsia="ＭＳ 明朝"/>
                <w:b/>
                <w:bCs/>
                <w:sz w:val="16"/>
              </w:rPr>
            </w:pPr>
            <w:r w:rsidRPr="003D6C32">
              <w:rPr>
                <w:rFonts w:eastAsia="ＭＳ 明朝"/>
                <w:b/>
                <w:bCs/>
                <w:sz w:val="16"/>
              </w:rPr>
              <w:t>(</w:t>
            </w:r>
            <w:r w:rsidRPr="003D6C32">
              <w:rPr>
                <w:b/>
                <w:sz w:val="16"/>
              </w:rPr>
              <w:t>×</w:t>
            </w:r>
            <w:r w:rsidRPr="003D6C32">
              <w:rPr>
                <w:rFonts w:eastAsia="ＭＳ 明朝"/>
                <w:b/>
                <w:bCs/>
                <w:sz w:val="16"/>
              </w:rPr>
              <w:t>10</w:t>
            </w:r>
            <w:r w:rsidRPr="003D6C32">
              <w:rPr>
                <w:rFonts w:eastAsia="ＭＳ 明朝"/>
                <w:b/>
                <w:bCs/>
                <w:sz w:val="16"/>
                <w:vertAlign w:val="superscript"/>
              </w:rPr>
              <w:t>–6</w:t>
            </w:r>
            <w:r w:rsidRPr="003D6C32">
              <w:rPr>
                <w:rFonts w:eastAsia="ＭＳ 明朝"/>
                <w:b/>
                <w:bCs/>
                <w:sz w:val="16"/>
              </w:rPr>
              <w:t xml:space="preserve"> m</w:t>
            </w:r>
            <w:r w:rsidRPr="003D6C32">
              <w:rPr>
                <w:rFonts w:eastAsia="ＭＳ 明朝"/>
                <w:b/>
                <w:bCs/>
                <w:sz w:val="16"/>
                <w:vertAlign w:val="superscript"/>
              </w:rPr>
              <w:t>2</w:t>
            </w:r>
            <w:r w:rsidRPr="003D6C32">
              <w:rPr>
                <w:rFonts w:eastAsia="ＭＳ 明朝"/>
                <w:b/>
                <w:bCs/>
                <w:sz w:val="16"/>
              </w:rPr>
              <w:t>/s)</w:t>
            </w:r>
          </w:p>
        </w:tc>
        <w:tc>
          <w:tcPr>
            <w:tcW w:w="850" w:type="dxa"/>
            <w:vAlign w:val="center"/>
          </w:tcPr>
          <w:p w:rsidR="003D6C32" w:rsidRPr="003D6C32" w:rsidRDefault="003D6C32" w:rsidP="00657AEC">
            <w:pPr>
              <w:jc w:val="center"/>
              <w:rPr>
                <w:rFonts w:eastAsia="ＭＳ 明朝"/>
                <w:b/>
                <w:bCs/>
                <w:sz w:val="16"/>
              </w:rPr>
            </w:pPr>
            <w:r w:rsidRPr="003D6C32">
              <w:rPr>
                <w:rFonts w:eastAsia="ＭＳ 明朝"/>
                <w:b/>
                <w:bCs/>
                <w:sz w:val="16"/>
              </w:rPr>
              <w:t>Density</w:t>
            </w:r>
          </w:p>
          <w:p w:rsidR="003D6C32" w:rsidRPr="003D6C32" w:rsidRDefault="003D6C32" w:rsidP="00657AEC">
            <w:pPr>
              <w:jc w:val="center"/>
              <w:rPr>
                <w:rFonts w:eastAsia="ＭＳ 明朝"/>
                <w:b/>
                <w:bCs/>
                <w:sz w:val="16"/>
              </w:rPr>
            </w:pPr>
            <w:r w:rsidRPr="003D6C32">
              <w:rPr>
                <w:rFonts w:eastAsia="ＭＳ 明朝"/>
                <w:b/>
                <w:bCs/>
                <w:sz w:val="16"/>
              </w:rPr>
              <w:t>(kg/m</w:t>
            </w:r>
            <w:r w:rsidRPr="003D6C32">
              <w:rPr>
                <w:rFonts w:eastAsia="ＭＳ 明朝"/>
                <w:b/>
                <w:bCs/>
                <w:sz w:val="16"/>
                <w:vertAlign w:val="superscript"/>
              </w:rPr>
              <w:t>3</w:t>
            </w:r>
            <w:r w:rsidRPr="003D6C32">
              <w:rPr>
                <w:rFonts w:eastAsia="ＭＳ 明朝"/>
                <w:b/>
                <w:bCs/>
                <w:sz w:val="16"/>
              </w:rPr>
              <w:t>)</w:t>
            </w:r>
          </w:p>
        </w:tc>
      </w:tr>
      <w:tr w:rsidR="003D6C32" w:rsidTr="003D6C32">
        <w:tc>
          <w:tcPr>
            <w:tcW w:w="1418" w:type="dxa"/>
            <w:vMerge w:val="restart"/>
            <w:vAlign w:val="center"/>
          </w:tcPr>
          <w:p w:rsidR="003D6C32" w:rsidRDefault="003D6C32" w:rsidP="00657AEC">
            <w:pPr>
              <w:rPr>
                <w:rFonts w:eastAsia="ＭＳ 明朝"/>
                <w:bCs/>
                <w:sz w:val="16"/>
                <w:lang w:eastAsia="ja-JP"/>
              </w:rPr>
            </w:pPr>
            <w:r w:rsidRPr="003D6C32">
              <w:rPr>
                <w:rFonts w:eastAsia="ＭＳ 明朝"/>
                <w:bCs/>
                <w:sz w:val="16"/>
              </w:rPr>
              <w:t xml:space="preserve">Spindle oil </w:t>
            </w:r>
          </w:p>
          <w:p w:rsidR="003D6C32" w:rsidRPr="003D6C32" w:rsidRDefault="003D6C32" w:rsidP="00657AEC">
            <w:pPr>
              <w:rPr>
                <w:rFonts w:eastAsia="ＭＳ 明朝"/>
                <w:bCs/>
                <w:sz w:val="16"/>
              </w:rPr>
            </w:pPr>
            <w:r w:rsidRPr="003D6C32">
              <w:rPr>
                <w:rFonts w:eastAsia="ＭＳ 明朝"/>
                <w:bCs/>
                <w:sz w:val="16"/>
              </w:rPr>
              <w:t>(SP)</w:t>
            </w: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15</w:t>
            </w: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24</w:t>
            </w:r>
          </w:p>
        </w:tc>
        <w:tc>
          <w:tcPr>
            <w:tcW w:w="850" w:type="dxa"/>
            <w:vAlign w:val="center"/>
          </w:tcPr>
          <w:p w:rsidR="003D6C32" w:rsidRPr="003D6C32" w:rsidRDefault="003D6C32" w:rsidP="00657AEC">
            <w:pPr>
              <w:jc w:val="center"/>
              <w:rPr>
                <w:rFonts w:eastAsia="ＭＳ 明朝"/>
                <w:sz w:val="16"/>
              </w:rPr>
            </w:pPr>
            <w:r w:rsidRPr="003D6C32">
              <w:rPr>
                <w:rFonts w:eastAsia="ＭＳ 明朝"/>
                <w:sz w:val="16"/>
              </w:rPr>
              <w:t>849</w:t>
            </w:r>
          </w:p>
        </w:tc>
      </w:tr>
      <w:tr w:rsidR="003D6C32" w:rsidTr="003D6C32">
        <w:tc>
          <w:tcPr>
            <w:tcW w:w="1418" w:type="dxa"/>
            <w:vMerge/>
            <w:vAlign w:val="center"/>
          </w:tcPr>
          <w:p w:rsidR="003D6C32" w:rsidRPr="003D6C32" w:rsidRDefault="003D6C32" w:rsidP="00657AEC">
            <w:pPr>
              <w:widowControl w:val="0"/>
              <w:jc w:val="both"/>
              <w:rPr>
                <w:rFonts w:eastAsia="ＭＳ 明朝"/>
                <w:bCs/>
                <w:kern w:val="2"/>
                <w:sz w:val="16"/>
              </w:rPr>
            </w:pP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20</w:t>
            </w: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20</w:t>
            </w:r>
          </w:p>
        </w:tc>
        <w:tc>
          <w:tcPr>
            <w:tcW w:w="850" w:type="dxa"/>
            <w:vAlign w:val="center"/>
          </w:tcPr>
          <w:p w:rsidR="003D6C32" w:rsidRPr="003D6C32" w:rsidRDefault="003D6C32" w:rsidP="00657AEC">
            <w:pPr>
              <w:jc w:val="center"/>
              <w:rPr>
                <w:rFonts w:eastAsia="ＭＳ 明朝"/>
                <w:sz w:val="16"/>
              </w:rPr>
            </w:pPr>
            <w:r w:rsidRPr="003D6C32">
              <w:rPr>
                <w:rFonts w:eastAsia="ＭＳ 明朝"/>
                <w:sz w:val="16"/>
              </w:rPr>
              <w:t>846</w:t>
            </w:r>
          </w:p>
        </w:tc>
      </w:tr>
      <w:tr w:rsidR="003D6C32" w:rsidTr="003D6C32">
        <w:tc>
          <w:tcPr>
            <w:tcW w:w="1418" w:type="dxa"/>
            <w:vMerge/>
            <w:vAlign w:val="center"/>
          </w:tcPr>
          <w:p w:rsidR="003D6C32" w:rsidRPr="003D6C32" w:rsidRDefault="003D6C32" w:rsidP="00657AEC">
            <w:pPr>
              <w:widowControl w:val="0"/>
              <w:jc w:val="both"/>
              <w:rPr>
                <w:rFonts w:eastAsia="ＭＳ 明朝"/>
                <w:bCs/>
                <w:kern w:val="2"/>
                <w:sz w:val="16"/>
              </w:rPr>
            </w:pP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35</w:t>
            </w: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11</w:t>
            </w:r>
          </w:p>
        </w:tc>
        <w:tc>
          <w:tcPr>
            <w:tcW w:w="850" w:type="dxa"/>
            <w:vAlign w:val="center"/>
          </w:tcPr>
          <w:p w:rsidR="003D6C32" w:rsidRPr="003D6C32" w:rsidRDefault="003D6C32" w:rsidP="00657AEC">
            <w:pPr>
              <w:jc w:val="center"/>
              <w:rPr>
                <w:rFonts w:eastAsia="ＭＳ 明朝"/>
                <w:sz w:val="16"/>
              </w:rPr>
            </w:pPr>
            <w:r w:rsidRPr="003D6C32">
              <w:rPr>
                <w:rFonts w:eastAsia="ＭＳ 明朝"/>
                <w:sz w:val="16"/>
              </w:rPr>
              <w:t>836</w:t>
            </w:r>
          </w:p>
        </w:tc>
      </w:tr>
      <w:tr w:rsidR="003D6C32" w:rsidTr="003D6C32">
        <w:tc>
          <w:tcPr>
            <w:tcW w:w="1418" w:type="dxa"/>
            <w:vMerge w:val="restart"/>
            <w:vAlign w:val="center"/>
          </w:tcPr>
          <w:p w:rsidR="003D6C32" w:rsidRDefault="003D6C32" w:rsidP="00657AEC">
            <w:pPr>
              <w:rPr>
                <w:rFonts w:eastAsia="ＭＳ 明朝"/>
                <w:bCs/>
                <w:sz w:val="16"/>
                <w:lang w:eastAsia="ja-JP"/>
              </w:rPr>
            </w:pPr>
            <w:r w:rsidRPr="003D6C32">
              <w:rPr>
                <w:rFonts w:eastAsia="ＭＳ 明朝"/>
                <w:bCs/>
                <w:sz w:val="16"/>
              </w:rPr>
              <w:t xml:space="preserve">Light oil </w:t>
            </w:r>
          </w:p>
          <w:p w:rsidR="003D6C32" w:rsidRPr="003D6C32" w:rsidRDefault="003D6C32" w:rsidP="00657AEC">
            <w:pPr>
              <w:rPr>
                <w:rFonts w:eastAsia="ＭＳ 明朝"/>
                <w:bCs/>
                <w:sz w:val="16"/>
              </w:rPr>
            </w:pPr>
            <w:r w:rsidRPr="003D6C32">
              <w:rPr>
                <w:rFonts w:eastAsia="ＭＳ 明朝"/>
                <w:bCs/>
                <w:sz w:val="16"/>
              </w:rPr>
              <w:t>(LO)</w:t>
            </w: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15</w:t>
            </w: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7.8</w:t>
            </w:r>
          </w:p>
        </w:tc>
        <w:tc>
          <w:tcPr>
            <w:tcW w:w="850" w:type="dxa"/>
            <w:vAlign w:val="center"/>
          </w:tcPr>
          <w:p w:rsidR="003D6C32" w:rsidRPr="003D6C32" w:rsidRDefault="003D6C32" w:rsidP="00657AEC">
            <w:pPr>
              <w:jc w:val="center"/>
              <w:rPr>
                <w:rFonts w:eastAsia="ＭＳ 明朝"/>
                <w:sz w:val="16"/>
              </w:rPr>
            </w:pPr>
            <w:r w:rsidRPr="003D6C32">
              <w:rPr>
                <w:rFonts w:eastAsia="ＭＳ 明朝"/>
                <w:sz w:val="16"/>
              </w:rPr>
              <w:t>839</w:t>
            </w:r>
          </w:p>
        </w:tc>
      </w:tr>
      <w:tr w:rsidR="003D6C32" w:rsidTr="003D6C32">
        <w:tc>
          <w:tcPr>
            <w:tcW w:w="1418" w:type="dxa"/>
            <w:vMerge/>
            <w:vAlign w:val="center"/>
          </w:tcPr>
          <w:p w:rsidR="003D6C32" w:rsidRPr="003D6C32" w:rsidRDefault="003D6C32" w:rsidP="003D6C32">
            <w:pPr>
              <w:rPr>
                <w:rFonts w:eastAsia="ＭＳ 明朝"/>
                <w:bCs/>
                <w:sz w:val="16"/>
                <w:lang w:eastAsia="ja-JP"/>
              </w:rPr>
            </w:pP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20</w:t>
            </w: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6.6</w:t>
            </w:r>
          </w:p>
        </w:tc>
        <w:tc>
          <w:tcPr>
            <w:tcW w:w="850" w:type="dxa"/>
            <w:vAlign w:val="center"/>
          </w:tcPr>
          <w:p w:rsidR="003D6C32" w:rsidRPr="003D6C32" w:rsidRDefault="003D6C32" w:rsidP="00657AEC">
            <w:pPr>
              <w:jc w:val="center"/>
              <w:rPr>
                <w:rFonts w:eastAsia="ＭＳ 明朝"/>
                <w:sz w:val="16"/>
              </w:rPr>
            </w:pPr>
            <w:r w:rsidRPr="003D6C32">
              <w:rPr>
                <w:rFonts w:eastAsia="ＭＳ 明朝"/>
                <w:sz w:val="16"/>
              </w:rPr>
              <w:t>836</w:t>
            </w:r>
          </w:p>
        </w:tc>
      </w:tr>
      <w:tr w:rsidR="003D6C32" w:rsidTr="003D6C32">
        <w:tc>
          <w:tcPr>
            <w:tcW w:w="1418" w:type="dxa"/>
            <w:vMerge/>
            <w:vAlign w:val="center"/>
          </w:tcPr>
          <w:p w:rsidR="003D6C32" w:rsidRPr="003D6C32" w:rsidRDefault="003D6C32" w:rsidP="003D6C32">
            <w:pPr>
              <w:rPr>
                <w:rFonts w:eastAsia="ＭＳ 明朝"/>
                <w:bCs/>
                <w:sz w:val="16"/>
                <w:lang w:eastAsia="ja-JP"/>
              </w:rPr>
            </w:pP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35</w:t>
            </w: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4.4</w:t>
            </w:r>
          </w:p>
        </w:tc>
        <w:tc>
          <w:tcPr>
            <w:tcW w:w="850" w:type="dxa"/>
            <w:vAlign w:val="center"/>
          </w:tcPr>
          <w:p w:rsidR="003D6C32" w:rsidRPr="003D6C32" w:rsidRDefault="003D6C32" w:rsidP="00657AEC">
            <w:pPr>
              <w:jc w:val="center"/>
              <w:rPr>
                <w:rFonts w:eastAsia="ＭＳ 明朝"/>
                <w:sz w:val="16"/>
              </w:rPr>
            </w:pPr>
            <w:r w:rsidRPr="003D6C32">
              <w:rPr>
                <w:rFonts w:eastAsia="ＭＳ 明朝"/>
                <w:sz w:val="16"/>
              </w:rPr>
              <w:t>825</w:t>
            </w:r>
          </w:p>
        </w:tc>
      </w:tr>
      <w:tr w:rsidR="003D6C32" w:rsidTr="003D6C32">
        <w:tc>
          <w:tcPr>
            <w:tcW w:w="1418" w:type="dxa"/>
            <w:vMerge w:val="restart"/>
            <w:vAlign w:val="center"/>
          </w:tcPr>
          <w:p w:rsidR="003D6C32" w:rsidRDefault="003D6C32" w:rsidP="00657AEC">
            <w:pPr>
              <w:rPr>
                <w:rFonts w:eastAsia="ＭＳ 明朝"/>
                <w:bCs/>
                <w:sz w:val="16"/>
                <w:lang w:eastAsia="ja-JP"/>
              </w:rPr>
            </w:pPr>
            <w:r w:rsidRPr="003D6C32">
              <w:rPr>
                <w:rFonts w:eastAsia="ＭＳ 明朝"/>
                <w:bCs/>
                <w:sz w:val="16"/>
              </w:rPr>
              <w:t xml:space="preserve">Kerosene </w:t>
            </w:r>
          </w:p>
          <w:p w:rsidR="003D6C32" w:rsidRPr="003D6C32" w:rsidRDefault="003D6C32" w:rsidP="00657AEC">
            <w:pPr>
              <w:rPr>
                <w:rFonts w:eastAsia="ＭＳ 明朝"/>
                <w:bCs/>
                <w:sz w:val="16"/>
              </w:rPr>
            </w:pPr>
            <w:r w:rsidRPr="003D6C32">
              <w:rPr>
                <w:rFonts w:eastAsia="ＭＳ 明朝"/>
                <w:bCs/>
                <w:sz w:val="16"/>
              </w:rPr>
              <w:t>(KE)</w:t>
            </w: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15</w:t>
            </w: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2.3</w:t>
            </w:r>
          </w:p>
        </w:tc>
        <w:tc>
          <w:tcPr>
            <w:tcW w:w="850" w:type="dxa"/>
            <w:vAlign w:val="center"/>
          </w:tcPr>
          <w:p w:rsidR="003D6C32" w:rsidRPr="003D6C32" w:rsidRDefault="003D6C32" w:rsidP="00657AEC">
            <w:pPr>
              <w:jc w:val="center"/>
              <w:rPr>
                <w:rFonts w:eastAsia="ＭＳ 明朝"/>
                <w:sz w:val="16"/>
              </w:rPr>
            </w:pPr>
            <w:r w:rsidRPr="003D6C32">
              <w:rPr>
                <w:rFonts w:eastAsia="ＭＳ 明朝"/>
                <w:sz w:val="16"/>
              </w:rPr>
              <w:t>800</w:t>
            </w:r>
          </w:p>
        </w:tc>
      </w:tr>
      <w:tr w:rsidR="003D6C32" w:rsidTr="003D6C32">
        <w:tc>
          <w:tcPr>
            <w:tcW w:w="1418" w:type="dxa"/>
            <w:vMerge/>
            <w:vAlign w:val="center"/>
          </w:tcPr>
          <w:p w:rsidR="003D6C32" w:rsidRPr="003D6C32" w:rsidRDefault="003D6C32" w:rsidP="00657AEC">
            <w:pPr>
              <w:rPr>
                <w:rFonts w:eastAsia="ＭＳ 明朝"/>
                <w:bCs/>
                <w:sz w:val="16"/>
              </w:rPr>
            </w:pP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20</w:t>
            </w: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2.1</w:t>
            </w:r>
          </w:p>
        </w:tc>
        <w:tc>
          <w:tcPr>
            <w:tcW w:w="850" w:type="dxa"/>
            <w:vAlign w:val="center"/>
          </w:tcPr>
          <w:p w:rsidR="003D6C32" w:rsidRPr="003D6C32" w:rsidRDefault="003D6C32" w:rsidP="00657AEC">
            <w:pPr>
              <w:jc w:val="center"/>
              <w:rPr>
                <w:rFonts w:eastAsia="ＭＳ 明朝"/>
                <w:sz w:val="16"/>
              </w:rPr>
            </w:pPr>
            <w:r w:rsidRPr="003D6C32">
              <w:rPr>
                <w:rFonts w:eastAsia="ＭＳ 明朝"/>
                <w:sz w:val="16"/>
              </w:rPr>
              <w:t>796</w:t>
            </w:r>
          </w:p>
        </w:tc>
      </w:tr>
      <w:tr w:rsidR="003D6C32" w:rsidTr="003D6C32">
        <w:tc>
          <w:tcPr>
            <w:tcW w:w="1418" w:type="dxa"/>
            <w:vMerge/>
            <w:vAlign w:val="center"/>
          </w:tcPr>
          <w:p w:rsidR="003D6C32" w:rsidRPr="003D6C32" w:rsidRDefault="003D6C32" w:rsidP="00657AEC">
            <w:pPr>
              <w:rPr>
                <w:rFonts w:eastAsia="ＭＳ 明朝"/>
                <w:bCs/>
                <w:sz w:val="16"/>
              </w:rPr>
            </w:pP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35</w:t>
            </w: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1.6</w:t>
            </w:r>
          </w:p>
        </w:tc>
        <w:tc>
          <w:tcPr>
            <w:tcW w:w="850" w:type="dxa"/>
            <w:vAlign w:val="center"/>
          </w:tcPr>
          <w:p w:rsidR="003D6C32" w:rsidRPr="003D6C32" w:rsidRDefault="003D6C32" w:rsidP="00657AEC">
            <w:pPr>
              <w:jc w:val="center"/>
              <w:rPr>
                <w:rFonts w:eastAsia="ＭＳ 明朝"/>
                <w:sz w:val="16"/>
              </w:rPr>
            </w:pPr>
            <w:r w:rsidRPr="003D6C32">
              <w:rPr>
                <w:rFonts w:eastAsia="ＭＳ 明朝"/>
                <w:sz w:val="16"/>
              </w:rPr>
              <w:t>786</w:t>
            </w:r>
          </w:p>
        </w:tc>
      </w:tr>
      <w:tr w:rsidR="003D6C32" w:rsidTr="003D6C32">
        <w:tc>
          <w:tcPr>
            <w:tcW w:w="1418" w:type="dxa"/>
            <w:vMerge w:val="restart"/>
            <w:vAlign w:val="center"/>
          </w:tcPr>
          <w:p w:rsidR="003D6C32" w:rsidRPr="003D6C32" w:rsidRDefault="003D6C32" w:rsidP="00657AEC">
            <w:pPr>
              <w:rPr>
                <w:rFonts w:eastAsia="ＭＳ 明朝"/>
                <w:bCs/>
                <w:sz w:val="16"/>
              </w:rPr>
            </w:pPr>
            <w:r w:rsidRPr="003D6C32">
              <w:rPr>
                <w:rFonts w:eastAsia="ＭＳ 明朝"/>
                <w:bCs/>
                <w:sz w:val="16"/>
              </w:rPr>
              <w:t>Industrial gasoline (GA)</w:t>
            </w: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15</w:t>
            </w: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1.3</w:t>
            </w:r>
          </w:p>
        </w:tc>
        <w:tc>
          <w:tcPr>
            <w:tcW w:w="850" w:type="dxa"/>
            <w:vAlign w:val="center"/>
          </w:tcPr>
          <w:p w:rsidR="003D6C32" w:rsidRPr="003D6C32" w:rsidRDefault="003D6C32" w:rsidP="00657AEC">
            <w:pPr>
              <w:jc w:val="center"/>
              <w:rPr>
                <w:rFonts w:eastAsia="ＭＳ 明朝"/>
                <w:sz w:val="16"/>
              </w:rPr>
            </w:pPr>
            <w:r w:rsidRPr="003D6C32">
              <w:rPr>
                <w:rFonts w:eastAsia="ＭＳ 明朝"/>
                <w:sz w:val="16"/>
              </w:rPr>
              <w:t>766</w:t>
            </w:r>
          </w:p>
        </w:tc>
      </w:tr>
      <w:tr w:rsidR="003D6C32" w:rsidTr="003D6C32">
        <w:tc>
          <w:tcPr>
            <w:tcW w:w="1418" w:type="dxa"/>
            <w:vMerge/>
            <w:vAlign w:val="center"/>
          </w:tcPr>
          <w:p w:rsidR="003D6C32" w:rsidRPr="003D6C32" w:rsidRDefault="003D6C32" w:rsidP="00657AEC">
            <w:pPr>
              <w:rPr>
                <w:rFonts w:eastAsia="ＭＳ 明朝"/>
                <w:bCs/>
                <w:sz w:val="16"/>
              </w:rPr>
            </w:pP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20</w:t>
            </w:r>
          </w:p>
        </w:tc>
        <w:tc>
          <w:tcPr>
            <w:tcW w:w="1134" w:type="dxa"/>
            <w:vAlign w:val="center"/>
          </w:tcPr>
          <w:p w:rsidR="003D6C32" w:rsidRPr="003D6C32" w:rsidRDefault="003D6C32" w:rsidP="00657AEC">
            <w:pPr>
              <w:jc w:val="center"/>
              <w:rPr>
                <w:rFonts w:eastAsia="ＭＳ 明朝"/>
                <w:sz w:val="16"/>
              </w:rPr>
            </w:pPr>
            <w:r w:rsidRPr="003D6C32">
              <w:rPr>
                <w:rFonts w:eastAsia="ＭＳ 明朝"/>
                <w:sz w:val="16"/>
              </w:rPr>
              <w:t>1.2</w:t>
            </w:r>
          </w:p>
        </w:tc>
        <w:tc>
          <w:tcPr>
            <w:tcW w:w="850" w:type="dxa"/>
            <w:vAlign w:val="center"/>
          </w:tcPr>
          <w:p w:rsidR="003D6C32" w:rsidRPr="003D6C32" w:rsidRDefault="003D6C32" w:rsidP="00657AEC">
            <w:pPr>
              <w:jc w:val="center"/>
              <w:rPr>
                <w:rFonts w:eastAsia="ＭＳ 明朝"/>
                <w:sz w:val="16"/>
              </w:rPr>
            </w:pPr>
            <w:r w:rsidRPr="003D6C32">
              <w:rPr>
                <w:rFonts w:eastAsia="ＭＳ 明朝"/>
                <w:sz w:val="16"/>
              </w:rPr>
              <w:t>763</w:t>
            </w:r>
          </w:p>
        </w:tc>
      </w:tr>
    </w:tbl>
    <w:p w:rsidR="003D6C32" w:rsidRDefault="003D6C32">
      <w:pPr>
        <w:pStyle w:val="a4"/>
        <w:rPr>
          <w:lang w:eastAsia="ja-JP"/>
        </w:rPr>
      </w:pPr>
    </w:p>
    <w:p w:rsidR="00F62060" w:rsidRPr="00F62060" w:rsidRDefault="00F62060">
      <w:pPr>
        <w:pStyle w:val="a4"/>
        <w:rPr>
          <w:i/>
        </w:rPr>
      </w:pPr>
      <w:r w:rsidRPr="00F62060">
        <w:rPr>
          <w:i/>
        </w:rPr>
        <w:t xml:space="preserve">2.2 </w:t>
      </w:r>
      <w:r w:rsidR="00E247B1" w:rsidRPr="00E247B1">
        <w:rPr>
          <w:i/>
        </w:rPr>
        <w:t>Rotary-type double-wing diverter</w:t>
      </w:r>
      <w:r w:rsidRPr="00F62060">
        <w:rPr>
          <w:i/>
        </w:rPr>
        <w:t xml:space="preserve"> </w:t>
      </w:r>
    </w:p>
    <w:p w:rsidR="00E247B1" w:rsidRDefault="00E247B1" w:rsidP="00E247B1">
      <w:pPr>
        <w:pStyle w:val="a4"/>
      </w:pPr>
      <w:r>
        <w:t xml:space="preserve">The diverter of the calibration facility was designed using the double wing method </w:t>
      </w:r>
      <w:r>
        <w:fldChar w:fldCharType="begin"/>
      </w:r>
      <w:r>
        <w:instrText xml:space="preserve"> REF _Ref458860521 \r \h </w:instrText>
      </w:r>
      <w:r>
        <w:fldChar w:fldCharType="separate"/>
      </w:r>
      <w:r w:rsidR="00BA2C13">
        <w:t>[2]</w:t>
      </w:r>
      <w:r>
        <w:fldChar w:fldCharType="end"/>
      </w:r>
      <w:r>
        <w:rPr>
          <w:rFonts w:hint="eastAsia"/>
          <w:lang w:eastAsia="ja-JP"/>
        </w:rPr>
        <w:t>-</w:t>
      </w:r>
      <w:r>
        <w:fldChar w:fldCharType="begin"/>
      </w:r>
      <w:r>
        <w:instrText xml:space="preserve"> REF _Ref458860739 \r \h </w:instrText>
      </w:r>
      <w:r>
        <w:fldChar w:fldCharType="separate"/>
      </w:r>
      <w:r w:rsidR="00BA2C13">
        <w:t>[4]</w:t>
      </w:r>
      <w:r>
        <w:fldChar w:fldCharType="end"/>
      </w:r>
      <w:r>
        <w:t>. A schematic of the diverter is shown in Fig</w:t>
      </w:r>
      <w:r>
        <w:rPr>
          <w:rFonts w:hint="eastAsia"/>
          <w:lang w:eastAsia="ja-JP"/>
        </w:rPr>
        <w:t>ure</w:t>
      </w:r>
      <w:r>
        <w:t xml:space="preserve"> 3. The diverter wings are set as partitions along the diameter of a half-cylinder tube. The axis of rotation is at the </w:t>
      </w:r>
      <w:r w:rsidR="00214863">
        <w:t>centre</w:t>
      </w:r>
      <w:r>
        <w:t xml:space="preserve"> of the cylinder and runs parallel to the liquid jets, which flow vertically downward. One side (bypass side) of the diverter has a stainless steel mesh on a low-profile partition wall and a closed bottom. The mesh and low-profile partition wall are installed to reduce splashing. When this side comes under the nozzle, the liquid flow is led into a bypass line. This bypass position is defined as the 0° or 360° position. The other side (collection side) has an open bottom so that the liquid jet can drop directly into the weighing tank when the collection side comes under the nozzles. This collection position is identified as the 180° position. </w:t>
      </w:r>
    </w:p>
    <w:p w:rsidR="00E247B1" w:rsidRDefault="00E247B1" w:rsidP="00E247B1">
      <w:pPr>
        <w:pStyle w:val="a4"/>
      </w:pPr>
    </w:p>
    <w:p w:rsidR="00E247B1" w:rsidRDefault="00E247B1" w:rsidP="00E247B1">
      <w:pPr>
        <w:pStyle w:val="a4"/>
        <w:rPr>
          <w:lang w:eastAsia="ja-JP"/>
        </w:rPr>
      </w:pPr>
      <w:r>
        <w:t>At the start and end of a measurement, the diverter is rotated in one direction using a servo motor. In accordance with the theory of the double wing method, the two diversion wings are moved across the jets in the same direction at a constant speed. Two photosensors and a disk with a slit are used as a trigger signal generator to start and stop a timer for the collection time. Photosensor 1 in Fig</w:t>
      </w:r>
      <w:r w:rsidR="00DC2E99">
        <w:rPr>
          <w:rFonts w:hint="eastAsia"/>
          <w:lang w:eastAsia="ja-JP"/>
        </w:rPr>
        <w:t>ure</w:t>
      </w:r>
      <w:r>
        <w:t xml:space="preserve"> 3 detects the slit near the 90° position. Photosensor 2 detects the slit near the 270° position. The sensors are fixed on a precision traverse </w:t>
      </w:r>
      <w:r>
        <w:lastRenderedPageBreak/>
        <w:t xml:space="preserve">stage so that the sensor position can be adjusted based on the estimated diverter timing error. Because the diverter timing error in the double wing method is </w:t>
      </w:r>
      <w:r w:rsidR="00005E57">
        <w:rPr>
          <w:rFonts w:hint="eastAsia"/>
          <w:lang w:eastAsia="ja-JP"/>
        </w:rPr>
        <w:t>in</w:t>
      </w:r>
      <w:r w:rsidR="00005E57">
        <w:t xml:space="preserve">dependent </w:t>
      </w:r>
      <w:r w:rsidR="00005E57">
        <w:rPr>
          <w:rFonts w:hint="eastAsia"/>
          <w:lang w:eastAsia="ja-JP"/>
        </w:rPr>
        <w:t>from</w:t>
      </w:r>
      <w:r>
        <w:t xml:space="preserve"> not only the flow profiles but also the nozzle positions, the flow nozzles can be inserted separately into the diverter. Five nozzle pipes (inner diameters: 41, 21, 13, 7, and 4 mm) are inserted into the diverter box at different positions. The multi-nozzle system is capable of maintaining a high flow velocity at the nozzles by selecting nozzle lines according to flow rates. The diverter wings cut one or two liquid jets depending on the flow rate. </w:t>
      </w:r>
    </w:p>
    <w:p w:rsidR="0031790E" w:rsidRDefault="0031790E">
      <w:pPr>
        <w:pStyle w:val="a4"/>
        <w:rPr>
          <w:lang w:eastAsia="ja-JP"/>
        </w:rPr>
      </w:pPr>
    </w:p>
    <w:p w:rsidR="0031790E" w:rsidRDefault="00904C8C" w:rsidP="0031790E">
      <w:pPr>
        <w:pStyle w:val="a4"/>
        <w:rPr>
          <w:lang w:eastAsia="ja-JP"/>
        </w:rPr>
      </w:pPr>
      <w:r w:rsidRPr="00904C8C">
        <w:rPr>
          <w:noProof/>
          <w:lang w:val="en-US" w:eastAsia="ja-JP"/>
        </w:rPr>
        <w:drawing>
          <wp:inline distT="0" distB="0" distL="0" distR="0" wp14:anchorId="499F5045" wp14:editId="7FD7391C">
            <wp:extent cx="2925219" cy="1897082"/>
            <wp:effectExtent l="0" t="0" r="889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24" r="1353" b="2720"/>
                    <a:stretch/>
                  </pic:blipFill>
                  <pic:spPr bwMode="auto">
                    <a:xfrm>
                      <a:off x="0" y="0"/>
                      <a:ext cx="2938480" cy="1905682"/>
                    </a:xfrm>
                    <a:prstGeom prst="rect">
                      <a:avLst/>
                    </a:prstGeom>
                    <a:noFill/>
                    <a:ln>
                      <a:noFill/>
                    </a:ln>
                    <a:extLst>
                      <a:ext uri="{53640926-AAD7-44D8-BBD7-CCE9431645EC}">
                        <a14:shadowObscured xmlns:a14="http://schemas.microsoft.com/office/drawing/2010/main"/>
                      </a:ext>
                    </a:extLst>
                  </pic:spPr>
                </pic:pic>
              </a:graphicData>
            </a:graphic>
          </wp:inline>
        </w:drawing>
      </w:r>
    </w:p>
    <w:p w:rsidR="00904C8C" w:rsidRDefault="00904C8C" w:rsidP="0031790E">
      <w:pPr>
        <w:pStyle w:val="a4"/>
        <w:rPr>
          <w:lang w:eastAsia="ja-JP"/>
        </w:rPr>
      </w:pPr>
    </w:p>
    <w:p w:rsidR="0031790E" w:rsidRDefault="0031790E" w:rsidP="009A6A4D">
      <w:pPr>
        <w:pStyle w:val="a3"/>
        <w:jc w:val="left"/>
        <w:rPr>
          <w:lang w:eastAsia="ja-JP"/>
        </w:rPr>
      </w:pPr>
      <w:r>
        <w:t xml:space="preserve">Figure </w:t>
      </w:r>
      <w:r w:rsidR="00E247B1">
        <w:rPr>
          <w:rFonts w:hint="eastAsia"/>
          <w:lang w:eastAsia="ja-JP"/>
        </w:rPr>
        <w:t>3</w:t>
      </w:r>
      <w:r>
        <w:t xml:space="preserve">: </w:t>
      </w:r>
      <w:r w:rsidR="009A6A4D" w:rsidRPr="009A6A4D">
        <w:rPr>
          <w:b w:val="0"/>
        </w:rPr>
        <w:t xml:space="preserve"> Schematic of rotary double wing diverter.</w:t>
      </w:r>
    </w:p>
    <w:p w:rsidR="0031790E" w:rsidRDefault="0031790E">
      <w:pPr>
        <w:pStyle w:val="a4"/>
        <w:rPr>
          <w:lang w:eastAsia="ja-JP"/>
        </w:rPr>
      </w:pPr>
    </w:p>
    <w:p w:rsidR="00E247B1" w:rsidRPr="00F62060" w:rsidRDefault="00E247B1" w:rsidP="00E247B1">
      <w:pPr>
        <w:pStyle w:val="a4"/>
        <w:rPr>
          <w:i/>
        </w:rPr>
      </w:pPr>
      <w:r w:rsidRPr="00F62060">
        <w:rPr>
          <w:i/>
        </w:rPr>
        <w:t>2.</w:t>
      </w:r>
      <w:r>
        <w:rPr>
          <w:rFonts w:hint="eastAsia"/>
          <w:i/>
          <w:lang w:eastAsia="ja-JP"/>
        </w:rPr>
        <w:t>3</w:t>
      </w:r>
      <w:r w:rsidRPr="00F62060">
        <w:rPr>
          <w:i/>
        </w:rPr>
        <w:t xml:space="preserve"> </w:t>
      </w:r>
      <w:r w:rsidRPr="00E247B1">
        <w:rPr>
          <w:i/>
        </w:rPr>
        <w:t>Weighing tank system with inlet seal system</w:t>
      </w:r>
      <w:r w:rsidRPr="00F62060">
        <w:rPr>
          <w:i/>
        </w:rPr>
        <w:t xml:space="preserve"> </w:t>
      </w:r>
    </w:p>
    <w:p w:rsidR="0082370F" w:rsidRDefault="00E247B1" w:rsidP="00E247B1">
      <w:pPr>
        <w:pStyle w:val="a4"/>
        <w:rPr>
          <w:lang w:eastAsia="ja-JP"/>
        </w:rPr>
      </w:pPr>
      <w:r>
        <w:t>The weighing tank has drain valves and drain nozzle</w:t>
      </w:r>
      <w:r w:rsidR="00A37210">
        <w:rPr>
          <w:rFonts w:hint="eastAsia"/>
          <w:lang w:eastAsia="ja-JP"/>
        </w:rPr>
        <w:t>s</w:t>
      </w:r>
      <w:r w:rsidR="009E77CC">
        <w:rPr>
          <w:rFonts w:hint="eastAsia"/>
          <w:lang w:eastAsia="ja-JP"/>
        </w:rPr>
        <w:t>. Th</w:t>
      </w:r>
      <w:r>
        <w:t xml:space="preserve">e length and inner diameter of the drain nozzle are approximately 150 and 20 mm, respectively. To determine if there is a leak in the drain valve, sight glasses are installed at drain lines to the storage tank. </w:t>
      </w:r>
    </w:p>
    <w:p w:rsidR="0082370F" w:rsidRDefault="0082370F" w:rsidP="00E247B1">
      <w:pPr>
        <w:pStyle w:val="a4"/>
        <w:rPr>
          <w:lang w:eastAsia="ja-JP"/>
        </w:rPr>
      </w:pPr>
    </w:p>
    <w:p w:rsidR="00586AD9" w:rsidRDefault="00E247B1" w:rsidP="00E247B1">
      <w:pPr>
        <w:pStyle w:val="a4"/>
        <w:rPr>
          <w:lang w:eastAsia="ja-JP"/>
        </w:rPr>
      </w:pPr>
      <w:r>
        <w:t xml:space="preserve">The weighing tank is placed on a lift platform, which is elevated by air actuators. The weighing tank is a cylindrical bucket with a large inlet of the same diameter as the bottom. Except during weight measurement periods, the weighing tank is raised above the scale and pushed tightly against the bottom of the diverter box to protect the scale against sudden impact by the jets and prevent the escape of vapor. When the lift platform moves down, the weighing tank is placed on the scale in a free state during the weight measurement because no signal wires or air tubes are connected to the weighing tank. To avoid a mechanical connection to the tank, the liquid level is detected by magnetic sensors and a float. The lift system </w:t>
      </w:r>
      <w:r w:rsidR="009E77CC">
        <w:t xml:space="preserve">also automatically connects </w:t>
      </w:r>
      <w:r>
        <w:t xml:space="preserve">an air tube to </w:t>
      </w:r>
      <w:r w:rsidR="009E77CC">
        <w:rPr>
          <w:rFonts w:hint="eastAsia"/>
          <w:lang w:eastAsia="ja-JP"/>
        </w:rPr>
        <w:t xml:space="preserve">actuators of </w:t>
      </w:r>
      <w:r>
        <w:t xml:space="preserve">the drain valves. </w:t>
      </w:r>
    </w:p>
    <w:p w:rsidR="00586AD9" w:rsidRDefault="00586AD9" w:rsidP="00E247B1">
      <w:pPr>
        <w:pStyle w:val="a4"/>
        <w:rPr>
          <w:lang w:eastAsia="ja-JP"/>
        </w:rPr>
      </w:pPr>
    </w:p>
    <w:p w:rsidR="00E247B1" w:rsidRDefault="00E247B1" w:rsidP="00E247B1">
      <w:pPr>
        <w:pStyle w:val="a4"/>
      </w:pPr>
      <w:r>
        <w:t>The weighing scale is calibrated using six dead weights of 10 kg e</w:t>
      </w:r>
      <w:r w:rsidR="004C2238">
        <w:t xml:space="preserve">ach. The weights loaded onto </w:t>
      </w:r>
      <w:r w:rsidR="004C2238">
        <w:rPr>
          <w:rFonts w:hint="eastAsia"/>
          <w:lang w:eastAsia="ja-JP"/>
        </w:rPr>
        <w:t>another</w:t>
      </w:r>
      <w:r>
        <w:t xml:space="preserve"> air actuator can be automatically hung on the weighing scale, and the number of weights can be selected. Normally, five weights are used. </w:t>
      </w:r>
    </w:p>
    <w:p w:rsidR="00E247B1" w:rsidRDefault="00E247B1" w:rsidP="00E247B1">
      <w:pPr>
        <w:pStyle w:val="a4"/>
      </w:pPr>
    </w:p>
    <w:p w:rsidR="00E247B1" w:rsidRDefault="00E247B1" w:rsidP="00E247B1">
      <w:pPr>
        <w:pStyle w:val="a4"/>
        <w:rPr>
          <w:lang w:eastAsia="ja-JP"/>
        </w:rPr>
      </w:pPr>
      <w:r>
        <w:t xml:space="preserve">The weighing tank has no open section from which vapor can escape into the atmosphere except for a short time during the weight measurement. This design </w:t>
      </w:r>
      <w:r>
        <w:lastRenderedPageBreak/>
        <w:t>contributes to the prevention of evaporation error. However, in the case of a higher vapor pressure liquid, the effect of evaporation should be confirmed.</w:t>
      </w:r>
    </w:p>
    <w:p w:rsidR="00BB3608" w:rsidRDefault="00BB3608" w:rsidP="00E247B1">
      <w:pPr>
        <w:pStyle w:val="a4"/>
        <w:rPr>
          <w:lang w:eastAsia="ja-JP"/>
        </w:rPr>
      </w:pPr>
    </w:p>
    <w:p w:rsidR="00E247B1" w:rsidRPr="00F62060" w:rsidRDefault="00E247B1" w:rsidP="00E247B1">
      <w:pPr>
        <w:pStyle w:val="a4"/>
        <w:rPr>
          <w:i/>
        </w:rPr>
      </w:pPr>
      <w:r>
        <w:rPr>
          <w:i/>
        </w:rPr>
        <w:t>2.</w:t>
      </w:r>
      <w:r>
        <w:rPr>
          <w:rFonts w:hint="eastAsia"/>
          <w:i/>
          <w:lang w:eastAsia="ja-JP"/>
        </w:rPr>
        <w:t>4</w:t>
      </w:r>
      <w:r w:rsidRPr="00F62060">
        <w:rPr>
          <w:i/>
        </w:rPr>
        <w:t xml:space="preserve"> </w:t>
      </w:r>
      <w:r>
        <w:rPr>
          <w:rFonts w:hint="eastAsia"/>
          <w:i/>
          <w:lang w:eastAsia="ja-JP"/>
        </w:rPr>
        <w:t>Temperature stability</w:t>
      </w:r>
    </w:p>
    <w:p w:rsidR="00E247B1" w:rsidRPr="009815C4" w:rsidRDefault="00E247B1" w:rsidP="00E247B1">
      <w:pPr>
        <w:jc w:val="both"/>
        <w:rPr>
          <w:sz w:val="20"/>
          <w:lang w:eastAsia="ja-JP"/>
        </w:rPr>
      </w:pPr>
      <w:r w:rsidRPr="009815C4">
        <w:rPr>
          <w:sz w:val="20"/>
        </w:rPr>
        <w:t xml:space="preserve">Temperature stability is important in calibration facilities for hydrocarbon flow because the thermal expansion coefficients for hydrocarbons are larger than that for water. A sophisticated temperature control system was adopted in the present facility. Because the temperature of the working liquid is quickly changed by the flow rate control of the cooling water, the average liquid temperature is stable even though the room temperature changes, but the temperature at the outlet of the heat exchangers has a large cyclic fluctuation </w:t>
      </w:r>
      <w:r w:rsidR="00174FF6">
        <w:rPr>
          <w:rFonts w:hint="eastAsia"/>
          <w:sz w:val="20"/>
          <w:lang w:eastAsia="ja-JP"/>
        </w:rPr>
        <w:t>(</w:t>
      </w:r>
      <w:r w:rsidR="00174FF6" w:rsidRPr="00AB7073">
        <w:rPr>
          <w:sz w:val="20"/>
          <w:lang w:eastAsia="ja-JP"/>
        </w:rPr>
        <w:t>±</w:t>
      </w:r>
      <w:r w:rsidR="00174FF6">
        <w:rPr>
          <w:sz w:val="20"/>
          <w:lang w:eastAsia="ja-JP"/>
        </w:rPr>
        <w:t>0.</w:t>
      </w:r>
      <w:r w:rsidR="00174FF6">
        <w:rPr>
          <w:rFonts w:hint="eastAsia"/>
          <w:sz w:val="20"/>
          <w:lang w:eastAsia="ja-JP"/>
        </w:rPr>
        <w:t>1</w:t>
      </w:r>
      <w:r w:rsidR="00174FF6" w:rsidRPr="00AB7073">
        <w:rPr>
          <w:sz w:val="20"/>
          <w:lang w:eastAsia="ja-JP"/>
        </w:rPr>
        <w:t>5 K</w:t>
      </w:r>
      <w:r w:rsidR="00174FF6">
        <w:rPr>
          <w:rFonts w:hint="eastAsia"/>
          <w:sz w:val="20"/>
          <w:lang w:eastAsia="ja-JP"/>
        </w:rPr>
        <w:t xml:space="preserve">) </w:t>
      </w:r>
      <w:r w:rsidRPr="009815C4">
        <w:rPr>
          <w:sz w:val="20"/>
        </w:rPr>
        <w:t>with a short period</w:t>
      </w:r>
      <w:r w:rsidR="00174FF6">
        <w:rPr>
          <w:rFonts w:hint="eastAsia"/>
          <w:sz w:val="20"/>
          <w:lang w:eastAsia="ja-JP"/>
        </w:rPr>
        <w:t xml:space="preserve"> (approximately 2 min)</w:t>
      </w:r>
      <w:r w:rsidRPr="009815C4">
        <w:rPr>
          <w:sz w:val="20"/>
        </w:rPr>
        <w:t xml:space="preserve">. However, sequential portions of different temperatures are mixed in the buffer room and the header. Thus, the ripple of the temperature fluctuation is suppressed before the liquid is distributed to the test sections. Because the flow rates in the circulation lines connecting the heat exchangers and the header are always maintained at almost </w:t>
      </w:r>
      <w:r w:rsidR="004C2238">
        <w:rPr>
          <w:rFonts w:hint="eastAsia"/>
          <w:sz w:val="20"/>
          <w:lang w:eastAsia="ja-JP"/>
        </w:rPr>
        <w:t>maximum flow rates</w:t>
      </w:r>
      <w:r w:rsidRPr="009815C4">
        <w:rPr>
          <w:sz w:val="20"/>
        </w:rPr>
        <w:t xml:space="preserve"> regardless of the calibration flow rate, the temperature at the header is controlled with a short delay. Almost the entire area of the pipe lines and the tanks are covered with an insulator. Thus, the temperature in the test sections and the downstream lines can be kept stable.</w:t>
      </w:r>
      <w:r w:rsidR="00AB7073">
        <w:rPr>
          <w:rFonts w:hint="eastAsia"/>
          <w:sz w:val="20"/>
          <w:lang w:eastAsia="ja-JP"/>
        </w:rPr>
        <w:t xml:space="preserve"> As a </w:t>
      </w:r>
      <w:r w:rsidR="00AB7073" w:rsidRPr="00AB7073">
        <w:rPr>
          <w:sz w:val="20"/>
          <w:lang w:eastAsia="ja-JP"/>
        </w:rPr>
        <w:t xml:space="preserve">result, the temperature fluctuation </w:t>
      </w:r>
      <w:r w:rsidR="00AB7073">
        <w:rPr>
          <w:rFonts w:hint="eastAsia"/>
          <w:sz w:val="20"/>
          <w:lang w:eastAsia="ja-JP"/>
        </w:rPr>
        <w:t xml:space="preserve">at the test section was confirmed to be </w:t>
      </w:r>
      <w:r w:rsidR="00AB7073" w:rsidRPr="00AB7073">
        <w:rPr>
          <w:sz w:val="20"/>
          <w:lang w:eastAsia="ja-JP"/>
        </w:rPr>
        <w:t>less than ±0.05 K.</w:t>
      </w:r>
    </w:p>
    <w:p w:rsidR="00E247B1" w:rsidRPr="00E247B1" w:rsidRDefault="00E247B1" w:rsidP="00E247B1">
      <w:pPr>
        <w:rPr>
          <w:lang w:eastAsia="ja-JP"/>
        </w:rPr>
      </w:pPr>
    </w:p>
    <w:p w:rsidR="005F2C46" w:rsidRDefault="005F2C46">
      <w:pPr>
        <w:pStyle w:val="1"/>
        <w:rPr>
          <w:lang w:eastAsia="ja-JP"/>
        </w:rPr>
      </w:pPr>
      <w:r>
        <w:t xml:space="preserve">3. </w:t>
      </w:r>
      <w:r w:rsidR="004C2238">
        <w:t xml:space="preserve">Considered effects </w:t>
      </w:r>
      <w:r w:rsidR="00E247B1">
        <w:rPr>
          <w:rFonts w:hint="eastAsia"/>
          <w:lang w:eastAsia="ja-JP"/>
        </w:rPr>
        <w:t>of liquid properties</w:t>
      </w:r>
      <w:r w:rsidR="004C2238">
        <w:rPr>
          <w:rFonts w:hint="eastAsia"/>
          <w:lang w:eastAsia="ja-JP"/>
        </w:rPr>
        <w:t xml:space="preserve"> on measurements</w:t>
      </w:r>
    </w:p>
    <w:p w:rsidR="00AB51F5" w:rsidRDefault="00AB51F5" w:rsidP="00AB51F5">
      <w:pPr>
        <w:pStyle w:val="a4"/>
      </w:pPr>
    </w:p>
    <w:p w:rsidR="009815C4" w:rsidRDefault="009815C4" w:rsidP="009815C4">
      <w:pPr>
        <w:pStyle w:val="a4"/>
      </w:pPr>
      <w:r>
        <w:t xml:space="preserve">The viscosity range for the four working liquids is wide, and their volatilities are very different. The differences in the liquid properties can affect the measurement results. The following four factors were considered with regard to the effects of the liquid properties on the </w:t>
      </w:r>
      <w:r w:rsidR="004C2238">
        <w:rPr>
          <w:rFonts w:hint="eastAsia"/>
          <w:lang w:eastAsia="ja-JP"/>
        </w:rPr>
        <w:t xml:space="preserve">weight </w:t>
      </w:r>
      <w:r>
        <w:t>measurement</w:t>
      </w:r>
      <w:r w:rsidR="004C2238">
        <w:rPr>
          <w:rFonts w:hint="eastAsia"/>
          <w:lang w:eastAsia="ja-JP"/>
        </w:rPr>
        <w:t>s</w:t>
      </w:r>
      <w:r>
        <w:t>: (1) the working liquid adhering to the diverter wing surface at the diversion, (2) mist filling the diverter box diffusing into the weighing tank during</w:t>
      </w:r>
      <w:r w:rsidR="008A036F">
        <w:t xml:space="preserve"> the time between </w:t>
      </w:r>
      <w:r w:rsidR="008A036F">
        <w:rPr>
          <w:rFonts w:hint="eastAsia"/>
          <w:lang w:eastAsia="ja-JP"/>
        </w:rPr>
        <w:t>weight measurements</w:t>
      </w:r>
      <w:r>
        <w:t xml:space="preserve">, (3) volatile liquid evaporating while the inlet of the weighing tank is open during the initial and final weight measurement steps, and (4) high-viscosity liquid can remain on the inside surface of the drain nozzle for a long time after draining. </w:t>
      </w:r>
    </w:p>
    <w:p w:rsidR="009815C4" w:rsidRDefault="009815C4" w:rsidP="009815C4">
      <w:pPr>
        <w:pStyle w:val="a4"/>
      </w:pPr>
    </w:p>
    <w:p w:rsidR="00FF2D4B" w:rsidRDefault="009815C4" w:rsidP="009815C4">
      <w:pPr>
        <w:pStyle w:val="a4"/>
      </w:pPr>
      <w:r>
        <w:t>The velocity profile in the liquid jet depends on the viscosity. In the case of a single wing diverter, the variation in the velocity profile affects the diverter timing error. However, in the case of the double wing diverter, the timing error is theoretically not affected by the velocity profile, meaning that the diverter timing error in the present facility should not change when the four investigated liquids are used in calibrations. However, this should be confirmed experimentally. The diverter timing errors for the four working liquids were evaluated using the</w:t>
      </w:r>
      <w:r w:rsidR="008A036F">
        <w:t xml:space="preserve"> method described in ISO4185 </w:t>
      </w:r>
      <w:r w:rsidR="008A036F">
        <w:fldChar w:fldCharType="begin"/>
      </w:r>
      <w:r w:rsidR="008A036F">
        <w:instrText xml:space="preserve"> REF _Ref458960744 \r \h </w:instrText>
      </w:r>
      <w:r w:rsidR="008A036F">
        <w:fldChar w:fldCharType="separate"/>
      </w:r>
      <w:r w:rsidR="00BA2C13">
        <w:t>[6]</w:t>
      </w:r>
      <w:r w:rsidR="008A036F">
        <w:fldChar w:fldCharType="end"/>
      </w:r>
      <w:r>
        <w:t xml:space="preserve">. </w:t>
      </w:r>
    </w:p>
    <w:p w:rsidR="00FF2D4B" w:rsidRDefault="00FF2D4B" w:rsidP="00FF2D4B">
      <w:pPr>
        <w:rPr>
          <w:sz w:val="20"/>
          <w:lang w:eastAsia="ja-JP"/>
        </w:rPr>
      </w:pPr>
    </w:p>
    <w:p w:rsidR="005F2C46" w:rsidRDefault="009815C4">
      <w:pPr>
        <w:pStyle w:val="1"/>
        <w:rPr>
          <w:lang w:eastAsia="ja-JP"/>
        </w:rPr>
      </w:pPr>
      <w:r>
        <w:lastRenderedPageBreak/>
        <w:t xml:space="preserve">4. </w:t>
      </w:r>
      <w:r>
        <w:rPr>
          <w:rFonts w:hint="eastAsia"/>
          <w:lang w:eastAsia="ja-JP"/>
        </w:rPr>
        <w:t>Results and discussion</w:t>
      </w:r>
    </w:p>
    <w:p w:rsidR="005F2C46" w:rsidRDefault="005F2C46">
      <w:pPr>
        <w:pStyle w:val="a4"/>
        <w:rPr>
          <w:lang w:eastAsia="ja-JP"/>
        </w:rPr>
      </w:pPr>
    </w:p>
    <w:p w:rsidR="00214863" w:rsidRPr="00F62060" w:rsidRDefault="00214863" w:rsidP="00214863">
      <w:pPr>
        <w:pStyle w:val="a4"/>
        <w:rPr>
          <w:i/>
        </w:rPr>
      </w:pPr>
      <w:r>
        <w:rPr>
          <w:i/>
        </w:rPr>
        <w:t>4.</w:t>
      </w:r>
      <w:r>
        <w:rPr>
          <w:rFonts w:hint="eastAsia"/>
          <w:i/>
          <w:lang w:eastAsia="ja-JP"/>
        </w:rPr>
        <w:t>1</w:t>
      </w:r>
      <w:r w:rsidRPr="00F62060">
        <w:rPr>
          <w:i/>
        </w:rPr>
        <w:t xml:space="preserve"> </w:t>
      </w:r>
      <w:r w:rsidR="009E77CC" w:rsidRPr="009E77CC">
        <w:rPr>
          <w:i/>
          <w:lang w:eastAsia="ja-JP"/>
        </w:rPr>
        <w:t>Investigation of influence of liquid properties</w:t>
      </w:r>
    </w:p>
    <w:p w:rsidR="008A036F" w:rsidRDefault="008A036F" w:rsidP="009E77CC">
      <w:pPr>
        <w:pStyle w:val="a4"/>
        <w:rPr>
          <w:lang w:eastAsia="ja-JP"/>
        </w:rPr>
      </w:pPr>
      <w:r>
        <w:t>The influence</w:t>
      </w:r>
      <w:r>
        <w:rPr>
          <w:rFonts w:hint="eastAsia"/>
          <w:lang w:eastAsia="ja-JP"/>
        </w:rPr>
        <w:t>s</w:t>
      </w:r>
      <w:r>
        <w:t xml:space="preserve"> of liquid properties on the calibration results were experimentally investigated.</w:t>
      </w:r>
      <w:r w:rsidRPr="00D05104">
        <w:t xml:space="preserve"> </w:t>
      </w:r>
      <w:r>
        <w:rPr>
          <w:rFonts w:hint="eastAsia"/>
          <w:lang w:eastAsia="ja-JP"/>
        </w:rPr>
        <w:t>T</w:t>
      </w:r>
      <w:r w:rsidRPr="00D05104">
        <w:t>he weight of the weighing tank was measured for approximately 3600 s after the rotary motion of the diverter.</w:t>
      </w:r>
      <w:r w:rsidR="00030219">
        <w:rPr>
          <w:rFonts w:hint="eastAsia"/>
          <w:lang w:eastAsia="ja-JP"/>
        </w:rPr>
        <w:t xml:space="preserve"> </w:t>
      </w:r>
      <w:r w:rsidR="00030219" w:rsidRPr="00030219">
        <w:rPr>
          <w:lang w:eastAsia="ja-JP"/>
        </w:rPr>
        <w:t>The difference</w:t>
      </w:r>
      <w:r w:rsidR="00030219">
        <w:rPr>
          <w:rFonts w:hint="eastAsia"/>
          <w:lang w:eastAsia="ja-JP"/>
        </w:rPr>
        <w:t>s</w:t>
      </w:r>
      <w:r w:rsidR="00030219" w:rsidRPr="00030219">
        <w:rPr>
          <w:lang w:eastAsia="ja-JP"/>
        </w:rPr>
        <w:t xml:space="preserve"> between the weight of the weighing tank at the first recording and that after the dive</w:t>
      </w:r>
      <w:r w:rsidR="00480CB8">
        <w:rPr>
          <w:lang w:eastAsia="ja-JP"/>
        </w:rPr>
        <w:t>rsion motion are shown in Fig</w:t>
      </w:r>
      <w:r w:rsidR="00480CB8">
        <w:rPr>
          <w:rFonts w:hint="eastAsia"/>
          <w:lang w:eastAsia="ja-JP"/>
        </w:rPr>
        <w:t>ure 4</w:t>
      </w:r>
      <w:r w:rsidR="00030219" w:rsidRPr="00030219">
        <w:rPr>
          <w:lang w:eastAsia="ja-JP"/>
        </w:rPr>
        <w:t xml:space="preserve"> for each of the working liquids. Each symbol represents a weight averaged over repeated measurements (three or six times). The error bars represent the standard deviations. The weight variations include some effects: the liquid adhered to the diverter, mist diffusion, and evaporation. At larger flow rates, the weight increased because of the liquid remaining adhered to the diverter immediately after the diversion. At low volatility and large flow rates (spindle oil and light oil, 15 m</w:t>
      </w:r>
      <w:r w:rsidR="00030219" w:rsidRPr="00480CB8">
        <w:rPr>
          <w:vertAlign w:val="superscript"/>
          <w:lang w:eastAsia="ja-JP"/>
        </w:rPr>
        <w:t>3</w:t>
      </w:r>
      <w:r w:rsidR="00030219" w:rsidRPr="00030219">
        <w:rPr>
          <w:lang w:eastAsia="ja-JP"/>
        </w:rPr>
        <w:t>/h), the weight constantly increased due to mist diffusion at later periods. When the volatility of the working liquid was higher (kerosene and industrial gasoline), the weight decreased at later periods because the effect of evaporation was stronger than that of mist diffusion.</w:t>
      </w:r>
    </w:p>
    <w:p w:rsidR="008A036F" w:rsidRDefault="008A036F" w:rsidP="009E77CC">
      <w:pPr>
        <w:pStyle w:val="a4"/>
        <w:rPr>
          <w:lang w:eastAsia="ja-JP"/>
        </w:rPr>
      </w:pPr>
    </w:p>
    <w:p w:rsidR="00030219" w:rsidRDefault="00BA5820" w:rsidP="009E77CC">
      <w:pPr>
        <w:pStyle w:val="a4"/>
        <w:rPr>
          <w:lang w:eastAsia="ja-JP"/>
        </w:rPr>
      </w:pPr>
      <w:r w:rsidRPr="00BA5820">
        <w:rPr>
          <w:rFonts w:hint="eastAsia"/>
          <w:noProof/>
          <w:lang w:val="en-US" w:eastAsia="ja-JP"/>
        </w:rPr>
        <w:drawing>
          <wp:inline distT="0" distB="0" distL="0" distR="0" wp14:anchorId="2BE43A6F" wp14:editId="6DA279A1">
            <wp:extent cx="2880360" cy="1880859"/>
            <wp:effectExtent l="0" t="0" r="0"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360" cy="1880859"/>
                    </a:xfrm>
                    <a:prstGeom prst="rect">
                      <a:avLst/>
                    </a:prstGeom>
                    <a:noFill/>
                    <a:ln>
                      <a:noFill/>
                    </a:ln>
                  </pic:spPr>
                </pic:pic>
              </a:graphicData>
            </a:graphic>
          </wp:inline>
        </w:drawing>
      </w:r>
    </w:p>
    <w:p w:rsidR="008A33BE" w:rsidRDefault="008A33BE" w:rsidP="009E77CC">
      <w:pPr>
        <w:pStyle w:val="a4"/>
        <w:rPr>
          <w:lang w:eastAsia="ja-JP"/>
        </w:rPr>
      </w:pPr>
    </w:p>
    <w:p w:rsidR="00030219" w:rsidRDefault="008A33BE" w:rsidP="008A33BE">
      <w:pPr>
        <w:pStyle w:val="a3"/>
        <w:jc w:val="left"/>
        <w:rPr>
          <w:b w:val="0"/>
          <w:lang w:eastAsia="ja-JP"/>
        </w:rPr>
      </w:pPr>
      <w:r>
        <w:t xml:space="preserve">Figure </w:t>
      </w:r>
      <w:r>
        <w:rPr>
          <w:rFonts w:hint="eastAsia"/>
          <w:lang w:eastAsia="ja-JP"/>
        </w:rPr>
        <w:t>4</w:t>
      </w:r>
      <w:r>
        <w:t xml:space="preserve">: </w:t>
      </w:r>
      <w:r w:rsidRPr="00EA6E60">
        <w:rPr>
          <w:b w:val="0"/>
        </w:rPr>
        <w:t>Difference between the first recorded weight and the weight after diversion</w:t>
      </w:r>
      <w:r>
        <w:rPr>
          <w:rFonts w:hint="eastAsia"/>
          <w:b w:val="0"/>
          <w:lang w:eastAsia="ja-JP"/>
        </w:rPr>
        <w:t>.</w:t>
      </w:r>
    </w:p>
    <w:p w:rsidR="008A33BE" w:rsidRPr="008A33BE" w:rsidRDefault="008A33BE" w:rsidP="008A33BE">
      <w:pPr>
        <w:rPr>
          <w:lang w:eastAsia="ja-JP"/>
        </w:rPr>
      </w:pPr>
    </w:p>
    <w:p w:rsidR="009E77CC" w:rsidRDefault="00030219" w:rsidP="009E77CC">
      <w:pPr>
        <w:pStyle w:val="a4"/>
      </w:pPr>
      <w:r>
        <w:rPr>
          <w:rFonts w:hint="eastAsia"/>
          <w:lang w:eastAsia="ja-JP"/>
        </w:rPr>
        <w:t>Although d</w:t>
      </w:r>
      <w:r>
        <w:t>etail</w:t>
      </w:r>
      <w:r>
        <w:rPr>
          <w:rFonts w:hint="eastAsia"/>
          <w:lang w:eastAsia="ja-JP"/>
        </w:rPr>
        <w:t>s</w:t>
      </w:r>
      <w:r>
        <w:t xml:space="preserve"> of analysis </w:t>
      </w:r>
      <w:r w:rsidR="00480CB8">
        <w:rPr>
          <w:rFonts w:hint="eastAsia"/>
          <w:lang w:eastAsia="ja-JP"/>
        </w:rPr>
        <w:t>are</w:t>
      </w:r>
      <w:r>
        <w:t xml:space="preserve"> omitted in this paper</w:t>
      </w:r>
      <w:r>
        <w:rPr>
          <w:rFonts w:hint="eastAsia"/>
          <w:lang w:eastAsia="ja-JP"/>
        </w:rPr>
        <w:t>,</w:t>
      </w:r>
      <w:r>
        <w:t xml:space="preserve"> </w:t>
      </w:r>
      <w:r>
        <w:rPr>
          <w:rFonts w:hint="eastAsia"/>
          <w:lang w:eastAsia="ja-JP"/>
        </w:rPr>
        <w:t>t</w:t>
      </w:r>
      <w:r>
        <w:t>he following results were obtaine</w:t>
      </w:r>
      <w:r>
        <w:rPr>
          <w:rFonts w:hint="eastAsia"/>
          <w:lang w:eastAsia="ja-JP"/>
        </w:rPr>
        <w:t>d</w:t>
      </w:r>
      <w:r>
        <w:t>.</w:t>
      </w:r>
      <w:r>
        <w:rPr>
          <w:rFonts w:hint="eastAsia"/>
          <w:lang w:eastAsia="ja-JP"/>
        </w:rPr>
        <w:t xml:space="preserve"> </w:t>
      </w:r>
      <w:r w:rsidR="009E77CC">
        <w:t>The evaporation error was reduced by using a seal system at the weighing tank inlet, and the relative standard uncertainty due to evaporation was estimated to be less than 0.0010</w:t>
      </w:r>
      <w:r w:rsidR="00E71AB8">
        <w:rPr>
          <w:rFonts w:hint="eastAsia"/>
          <w:lang w:eastAsia="ja-JP"/>
        </w:rPr>
        <w:t xml:space="preserve"> </w:t>
      </w:r>
      <w:r w:rsidR="009E77CC">
        <w:t>%. The relative standard uncertainty due to the mist diffusion was less than 0.0010</w:t>
      </w:r>
      <w:r w:rsidR="000E4897">
        <w:rPr>
          <w:rFonts w:hint="eastAsia"/>
          <w:lang w:eastAsia="ja-JP"/>
        </w:rPr>
        <w:t xml:space="preserve"> </w:t>
      </w:r>
      <w:r w:rsidR="009E77CC">
        <w:t xml:space="preserve">%. By introducing an additional adhesion operation in the calibration sequence, the error due to the liquid adhered to the diverter was confirmed to be primarily eliminated. For repeated calibrations at the same flow rate, the uncertainty due to the liquid adhered to the diverter was considered to be primarily a random effect and was included when calculating the repeatability of the flowmeter calibration results. When the change in the flow rate was large, a bias error was included in the uncertainty. </w:t>
      </w:r>
    </w:p>
    <w:p w:rsidR="009E77CC" w:rsidRDefault="009E77CC" w:rsidP="009815C4">
      <w:pPr>
        <w:pStyle w:val="a4"/>
        <w:rPr>
          <w:lang w:eastAsia="ja-JP"/>
        </w:rPr>
      </w:pPr>
    </w:p>
    <w:p w:rsidR="005F2C46" w:rsidRDefault="00A37210" w:rsidP="009815C4">
      <w:pPr>
        <w:pStyle w:val="a4"/>
        <w:rPr>
          <w:lang w:eastAsia="ja-JP"/>
        </w:rPr>
      </w:pPr>
      <w:r w:rsidRPr="00A37210">
        <w:t xml:space="preserve">To investigate the influence of the liquid adhered to the drain nozzle </w:t>
      </w:r>
      <w:proofErr w:type="gramStart"/>
      <w:r w:rsidRPr="00A37210">
        <w:t>surface</w:t>
      </w:r>
      <w:r w:rsidR="00480CB8">
        <w:rPr>
          <w:rFonts w:hint="eastAsia"/>
          <w:lang w:eastAsia="ja-JP"/>
        </w:rPr>
        <w:t>,</w:t>
      </w:r>
      <w:proofErr w:type="gramEnd"/>
      <w:r w:rsidRPr="00A37210">
        <w:t xml:space="preserve"> the weight of the weighing tank </w:t>
      </w:r>
      <w:r w:rsidRPr="00A37210">
        <w:lastRenderedPageBreak/>
        <w:t>was measured after the liquid was discharged from the weighing tank. The discharging from the weighing tank was conducted 3600 s after the diversion to distinguish the effect of the liquid adhered to the diverter and the drain nozzle. To reduce the mist diffusion effect, the flow rates were kept small (0.1 m3/h). The evaporation effect is not significant when spindle oil is used as the working liquid. The differences between the corrected weights and that at an elapsed time of 3600 s after the draining are shown in Fig</w:t>
      </w:r>
      <w:r w:rsidR="00FF3CB1">
        <w:rPr>
          <w:rFonts w:hint="eastAsia"/>
          <w:lang w:eastAsia="ja-JP"/>
        </w:rPr>
        <w:t>ure</w:t>
      </w:r>
      <w:r w:rsidR="00480CB8">
        <w:rPr>
          <w:rFonts w:hint="eastAsia"/>
          <w:lang w:eastAsia="ja-JP"/>
        </w:rPr>
        <w:t xml:space="preserve"> 5</w:t>
      </w:r>
      <w:r w:rsidRPr="00A37210">
        <w:t>. The error bar indicates the standard deviation of repeated measurements. When the surface of the drain nozzle was raw stainless steel, the weight of the liquid adhered to the drain nozzle was large</w:t>
      </w:r>
      <w:r w:rsidR="00D65FFF">
        <w:rPr>
          <w:rFonts w:hint="eastAsia"/>
          <w:lang w:eastAsia="ja-JP"/>
        </w:rPr>
        <w:t>r</w:t>
      </w:r>
      <w:r w:rsidRPr="00A37210">
        <w:t>, and the adhered liquid required a long time to drop down fully. Normally, the tare weight of the weighing tank is measured 420 s</w:t>
      </w:r>
      <w:r w:rsidR="00FF3CB1">
        <w:rPr>
          <w:rFonts w:hint="eastAsia"/>
          <w:lang w:eastAsia="ja-JP"/>
        </w:rPr>
        <w:t xml:space="preserve"> </w:t>
      </w:r>
      <w:r w:rsidRPr="00A37210">
        <w:t>after draining</w:t>
      </w:r>
      <w:r w:rsidR="000E3D09">
        <w:rPr>
          <w:rFonts w:hint="eastAsia"/>
          <w:lang w:eastAsia="ja-JP"/>
        </w:rPr>
        <w:t xml:space="preserve"> in the flowmeter calibration</w:t>
      </w:r>
      <w:r w:rsidRPr="00A37210">
        <w:t xml:space="preserve">. The maximum collection time is 1460 s </w:t>
      </w:r>
      <w:proofErr w:type="gramStart"/>
      <w:r w:rsidRPr="00A37210">
        <w:t>at 0.1 m</w:t>
      </w:r>
      <w:r w:rsidRPr="00586AD9">
        <w:rPr>
          <w:vertAlign w:val="superscript"/>
        </w:rPr>
        <w:t>3</w:t>
      </w:r>
      <w:r w:rsidRPr="00A37210">
        <w:t>/h</w:t>
      </w:r>
      <w:proofErr w:type="gramEnd"/>
      <w:r w:rsidRPr="00A37210">
        <w:t>. The time interval from the tare measurement to the final weight measurement is from 150 to 1610 s. The difference between the weight at an elapsed time of 420 s and that at 2030 s could be a source of error. For spindle oil, this difference was approximately 1 g, which corresponds to a relative error of 0.003</w:t>
      </w:r>
      <w:r w:rsidR="00E71AB8">
        <w:rPr>
          <w:rFonts w:hint="eastAsia"/>
          <w:lang w:eastAsia="ja-JP"/>
        </w:rPr>
        <w:t xml:space="preserve"> </w:t>
      </w:r>
      <w:r w:rsidRPr="00A37210">
        <w:t>%. After the fluorine treatment, the liquid adhered to the drain nozzle quickly flowed dow</w:t>
      </w:r>
      <w:r w:rsidR="00FF3CB1">
        <w:t>n and became too small to analy</w:t>
      </w:r>
      <w:r w:rsidR="00FF3CB1">
        <w:rPr>
          <w:rFonts w:hint="eastAsia"/>
          <w:lang w:eastAsia="ja-JP"/>
        </w:rPr>
        <w:t>s</w:t>
      </w:r>
      <w:r w:rsidRPr="00A37210">
        <w:t xml:space="preserve">e using the weight measurement. Using a video camera, it was confirmed that the liquid adhered to the drain nozzle flowed down until 400 s after draining. Therefore, the error due to the liquid adhered to the drain nozzle was negligible after fluorine treatment. </w:t>
      </w:r>
    </w:p>
    <w:p w:rsidR="00FF3CB1" w:rsidRDefault="00FF3CB1" w:rsidP="009815C4">
      <w:pPr>
        <w:pStyle w:val="a4"/>
        <w:rPr>
          <w:lang w:eastAsia="ja-JP"/>
        </w:rPr>
      </w:pPr>
    </w:p>
    <w:p w:rsidR="00E32D2A" w:rsidRDefault="00904C8C" w:rsidP="00E32D2A">
      <w:pPr>
        <w:pStyle w:val="a4"/>
        <w:tabs>
          <w:tab w:val="center" w:pos="2268"/>
          <w:tab w:val="right" w:pos="4536"/>
        </w:tabs>
        <w:rPr>
          <w:lang w:eastAsia="ja-JP"/>
        </w:rPr>
      </w:pPr>
      <w:r w:rsidRPr="00904C8C">
        <w:rPr>
          <w:noProof/>
          <w:lang w:val="en-US" w:eastAsia="ja-JP"/>
        </w:rPr>
        <w:drawing>
          <wp:inline distT="0" distB="0" distL="0" distR="0" wp14:anchorId="67C023BE" wp14:editId="5128140D">
            <wp:extent cx="2833255" cy="225289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7789"/>
                    <a:stretch/>
                  </pic:blipFill>
                  <pic:spPr bwMode="auto">
                    <a:xfrm>
                      <a:off x="0" y="0"/>
                      <a:ext cx="2831893" cy="2251812"/>
                    </a:xfrm>
                    <a:prstGeom prst="rect">
                      <a:avLst/>
                    </a:prstGeom>
                    <a:noFill/>
                    <a:ln>
                      <a:noFill/>
                    </a:ln>
                    <a:extLst>
                      <a:ext uri="{53640926-AAD7-44D8-BBD7-CCE9431645EC}">
                        <a14:shadowObscured xmlns:a14="http://schemas.microsoft.com/office/drawing/2010/main"/>
                      </a:ext>
                    </a:extLst>
                  </pic:spPr>
                </pic:pic>
              </a:graphicData>
            </a:graphic>
          </wp:inline>
        </w:drawing>
      </w:r>
    </w:p>
    <w:p w:rsidR="008A33BE" w:rsidRPr="008A33BE" w:rsidRDefault="008A33BE" w:rsidP="00E32D2A">
      <w:pPr>
        <w:pStyle w:val="a4"/>
        <w:tabs>
          <w:tab w:val="center" w:pos="2268"/>
          <w:tab w:val="right" w:pos="4536"/>
        </w:tabs>
        <w:rPr>
          <w:sz w:val="16"/>
          <w:szCs w:val="16"/>
          <w:lang w:eastAsia="ja-JP"/>
        </w:rPr>
      </w:pPr>
    </w:p>
    <w:p w:rsidR="00FD6317" w:rsidRPr="008A33BE" w:rsidRDefault="008A33BE" w:rsidP="008A33BE">
      <w:pPr>
        <w:pStyle w:val="a3"/>
        <w:jc w:val="left"/>
        <w:rPr>
          <w:b w:val="0"/>
          <w:szCs w:val="16"/>
          <w:lang w:eastAsia="ja-JP"/>
        </w:rPr>
      </w:pPr>
      <w:r w:rsidRPr="008A33BE">
        <w:rPr>
          <w:szCs w:val="16"/>
        </w:rPr>
        <w:t xml:space="preserve">Figure </w:t>
      </w:r>
      <w:r w:rsidRPr="008A33BE">
        <w:rPr>
          <w:szCs w:val="16"/>
          <w:lang w:eastAsia="ja-JP"/>
        </w:rPr>
        <w:t>5</w:t>
      </w:r>
      <w:r w:rsidRPr="008A33BE">
        <w:rPr>
          <w:szCs w:val="16"/>
        </w:rPr>
        <w:t xml:space="preserve">: </w:t>
      </w:r>
      <w:r w:rsidRPr="008A33BE">
        <w:rPr>
          <w:b w:val="0"/>
          <w:szCs w:val="16"/>
        </w:rPr>
        <w:t>Weight variation after draining using different surface treatments</w:t>
      </w:r>
      <w:r w:rsidRPr="008A33BE">
        <w:rPr>
          <w:b w:val="0"/>
          <w:szCs w:val="16"/>
          <w:lang w:eastAsia="ja-JP"/>
        </w:rPr>
        <w:t>.</w:t>
      </w:r>
    </w:p>
    <w:p w:rsidR="008A33BE" w:rsidRPr="008A33BE" w:rsidRDefault="008A33BE" w:rsidP="008A33BE">
      <w:pPr>
        <w:rPr>
          <w:sz w:val="16"/>
          <w:szCs w:val="16"/>
          <w:lang w:eastAsia="ja-JP"/>
        </w:rPr>
      </w:pPr>
    </w:p>
    <w:p w:rsidR="00214863" w:rsidRPr="00F62060" w:rsidRDefault="00214863" w:rsidP="00214863">
      <w:pPr>
        <w:pStyle w:val="a4"/>
        <w:rPr>
          <w:i/>
        </w:rPr>
      </w:pPr>
      <w:r>
        <w:rPr>
          <w:i/>
        </w:rPr>
        <w:t>4.</w:t>
      </w:r>
      <w:r>
        <w:rPr>
          <w:rFonts w:hint="eastAsia"/>
          <w:i/>
          <w:lang w:eastAsia="ja-JP"/>
        </w:rPr>
        <w:t>2</w:t>
      </w:r>
      <w:r w:rsidRPr="00F62060">
        <w:rPr>
          <w:i/>
        </w:rPr>
        <w:t xml:space="preserve"> </w:t>
      </w:r>
      <w:r>
        <w:rPr>
          <w:rFonts w:hint="eastAsia"/>
          <w:i/>
          <w:lang w:eastAsia="ja-JP"/>
        </w:rPr>
        <w:t>Estimation of diverter timing error</w:t>
      </w:r>
    </w:p>
    <w:p w:rsidR="00214863" w:rsidRDefault="00214863" w:rsidP="00214863">
      <w:pPr>
        <w:pStyle w:val="a4"/>
        <w:rPr>
          <w:lang w:eastAsia="ja-JP"/>
        </w:rPr>
      </w:pPr>
      <w:r>
        <w:t xml:space="preserve">After the construction of the facility, the diverter timing error was measured at various flow rates to estimate the required adjustment to the photosensor position. The average timing error before adjustment was estimated to be –5.2 </w:t>
      </w:r>
      <w:proofErr w:type="gramStart"/>
      <w:r>
        <w:t>ms</w:t>
      </w:r>
      <w:proofErr w:type="gramEnd"/>
      <w:r>
        <w:t>. The position of the photosensor was then adjusted. The diverter timing error after the first adjustment for kerosene is shown in Fig</w:t>
      </w:r>
      <w:r w:rsidR="00480CB8">
        <w:rPr>
          <w:rFonts w:hint="eastAsia"/>
          <w:lang w:eastAsia="ja-JP"/>
        </w:rPr>
        <w:t>ure 6</w:t>
      </w:r>
      <w:r w:rsidR="0082370F">
        <w:rPr>
          <w:rFonts w:hint="eastAsia"/>
          <w:lang w:eastAsia="ja-JP"/>
        </w:rPr>
        <w:t xml:space="preserve"> </w:t>
      </w:r>
      <w:r w:rsidR="0082370F">
        <w:rPr>
          <w:lang w:eastAsia="ja-JP"/>
        </w:rPr>
        <w:fldChar w:fldCharType="begin"/>
      </w:r>
      <w:r w:rsidR="0082370F">
        <w:rPr>
          <w:lang w:eastAsia="ja-JP"/>
        </w:rPr>
        <w:instrText xml:space="preserve"> </w:instrText>
      </w:r>
      <w:r w:rsidR="0082370F">
        <w:rPr>
          <w:rFonts w:hint="eastAsia"/>
          <w:lang w:eastAsia="ja-JP"/>
        </w:rPr>
        <w:instrText>REF _Ref458860685 \r \h</w:instrText>
      </w:r>
      <w:r w:rsidR="0082370F">
        <w:rPr>
          <w:lang w:eastAsia="ja-JP"/>
        </w:rPr>
        <w:instrText xml:space="preserve"> </w:instrText>
      </w:r>
      <w:r w:rsidR="0082370F">
        <w:rPr>
          <w:lang w:eastAsia="ja-JP"/>
        </w:rPr>
      </w:r>
      <w:r w:rsidR="0082370F">
        <w:rPr>
          <w:lang w:eastAsia="ja-JP"/>
        </w:rPr>
        <w:fldChar w:fldCharType="separate"/>
      </w:r>
      <w:r w:rsidR="00BA2C13">
        <w:rPr>
          <w:lang w:eastAsia="ja-JP"/>
        </w:rPr>
        <w:t>[5]</w:t>
      </w:r>
      <w:r w:rsidR="0082370F">
        <w:rPr>
          <w:lang w:eastAsia="ja-JP"/>
        </w:rPr>
        <w:fldChar w:fldCharType="end"/>
      </w:r>
      <w:r>
        <w:t xml:space="preserve">, which indicates that the diverter timing error was reduced by the adjustment and was independent of the flow rate, the nozzle diameter, and the nozzle position. At low flow </w:t>
      </w:r>
      <w:r>
        <w:lastRenderedPageBreak/>
        <w:t xml:space="preserve">rates, the error times were dispersed, but the relative errors were small because the collection times increased as the flow rates decreased. </w:t>
      </w:r>
    </w:p>
    <w:p w:rsidR="00FB4C6C" w:rsidRDefault="00FB4C6C" w:rsidP="00214863">
      <w:pPr>
        <w:pStyle w:val="a4"/>
        <w:rPr>
          <w:lang w:eastAsia="ja-JP"/>
        </w:rPr>
      </w:pPr>
    </w:p>
    <w:p w:rsidR="00FB4C6C" w:rsidRDefault="00FB4C6C" w:rsidP="00FB4C6C">
      <w:pPr>
        <w:pStyle w:val="a4"/>
        <w:rPr>
          <w:lang w:eastAsia="ja-JP"/>
        </w:rPr>
      </w:pPr>
      <w:r>
        <w:t xml:space="preserve">Readjustments to the photosensor position were conducted after diverter maintenance. After the final adjustment, the diverter timing error was estimated for the four types of working liquids. </w:t>
      </w:r>
      <w:r w:rsidR="00FE0CF1">
        <w:rPr>
          <w:rFonts w:hint="eastAsia"/>
          <w:lang w:eastAsia="ja-JP"/>
        </w:rPr>
        <w:t>T</w:t>
      </w:r>
      <w:r>
        <w:t xml:space="preserve">he </w:t>
      </w:r>
      <w:r w:rsidR="00393A80">
        <w:rPr>
          <w:rFonts w:hint="eastAsia"/>
          <w:lang w:eastAsia="ja-JP"/>
        </w:rPr>
        <w:t>d</w:t>
      </w:r>
      <w:r>
        <w:t>iverter timing error</w:t>
      </w:r>
      <w:r w:rsidR="0088537B">
        <w:rPr>
          <w:rFonts w:hint="eastAsia"/>
          <w:lang w:eastAsia="ja-JP"/>
        </w:rPr>
        <w:t>s</w:t>
      </w:r>
      <w:r>
        <w:t xml:space="preserve"> between 3 and 15 m</w:t>
      </w:r>
      <w:r w:rsidRPr="00586AD9">
        <w:rPr>
          <w:vertAlign w:val="superscript"/>
        </w:rPr>
        <w:t>3</w:t>
      </w:r>
      <w:r>
        <w:t xml:space="preserve">/h </w:t>
      </w:r>
      <w:r w:rsidR="0088537B">
        <w:rPr>
          <w:rFonts w:hint="eastAsia"/>
          <w:lang w:eastAsia="ja-JP"/>
        </w:rPr>
        <w:t>are</w:t>
      </w:r>
      <w:r>
        <w:t xml:space="preserve"> shown in Fig</w:t>
      </w:r>
      <w:r>
        <w:rPr>
          <w:rFonts w:hint="eastAsia"/>
          <w:lang w:eastAsia="ja-JP"/>
        </w:rPr>
        <w:t>ure 7</w:t>
      </w:r>
      <w:r>
        <w:t xml:space="preserve">. </w:t>
      </w:r>
      <w:r w:rsidR="0088537B">
        <w:rPr>
          <w:rFonts w:hint="eastAsia"/>
          <w:lang w:eastAsia="ja-JP"/>
        </w:rPr>
        <w:t xml:space="preserve">Dependence </w:t>
      </w:r>
      <w:r w:rsidR="00FE0CF1">
        <w:rPr>
          <w:rFonts w:hint="eastAsia"/>
          <w:lang w:eastAsia="ja-JP"/>
        </w:rPr>
        <w:t>on the</w:t>
      </w:r>
      <w:r w:rsidR="0088537B">
        <w:rPr>
          <w:rFonts w:hint="eastAsia"/>
          <w:lang w:eastAsia="ja-JP"/>
        </w:rPr>
        <w:t xml:space="preserve"> liquid properties was</w:t>
      </w:r>
      <w:r w:rsidR="00FE0CF1">
        <w:rPr>
          <w:rFonts w:hint="eastAsia"/>
          <w:lang w:eastAsia="ja-JP"/>
        </w:rPr>
        <w:t xml:space="preserve"> observed in the diverter timing error. </w:t>
      </w:r>
      <w:r w:rsidR="003C5255">
        <w:rPr>
          <w:rFonts w:hint="eastAsia"/>
          <w:lang w:eastAsia="ja-JP"/>
        </w:rPr>
        <w:t xml:space="preserve">This indicates </w:t>
      </w:r>
      <w:r w:rsidR="003C5255">
        <w:rPr>
          <w:lang w:eastAsia="ja-JP"/>
        </w:rPr>
        <w:t>necessity</w:t>
      </w:r>
      <w:r w:rsidR="003C5255">
        <w:rPr>
          <w:rFonts w:hint="eastAsia"/>
          <w:lang w:eastAsia="ja-JP"/>
        </w:rPr>
        <w:t xml:space="preserve"> to confirm the diverter timing error at the actual working liquid. Further investigation is needed to identify the detailed mechanism</w:t>
      </w:r>
      <w:r w:rsidR="00FE0CF1">
        <w:rPr>
          <w:rFonts w:hint="eastAsia"/>
          <w:lang w:eastAsia="ja-JP"/>
        </w:rPr>
        <w:t>.</w:t>
      </w:r>
      <w:r w:rsidR="005767DF">
        <w:rPr>
          <w:rFonts w:hint="eastAsia"/>
          <w:lang w:eastAsia="ja-JP"/>
        </w:rPr>
        <w:t xml:space="preserve"> However, i</w:t>
      </w:r>
      <w:r w:rsidR="0088537B">
        <w:rPr>
          <w:rFonts w:hint="eastAsia"/>
          <w:lang w:eastAsia="ja-JP"/>
        </w:rPr>
        <w:t xml:space="preserve">n the case of this facility, the relative error of the diverter timing to the collection times </w:t>
      </w:r>
      <w:r w:rsidR="005A6893">
        <w:rPr>
          <w:rFonts w:hint="eastAsia"/>
          <w:lang w:eastAsia="ja-JP"/>
        </w:rPr>
        <w:t>was</w:t>
      </w:r>
      <w:r w:rsidR="0088537B">
        <w:rPr>
          <w:rFonts w:hint="eastAsia"/>
          <w:lang w:eastAsia="ja-JP"/>
        </w:rPr>
        <w:t xml:space="preserve"> not significant. </w:t>
      </w:r>
      <w:r w:rsidR="005A6893">
        <w:t>A</w:t>
      </w:r>
      <w:r>
        <w:t xml:space="preserve">ll </w:t>
      </w:r>
      <w:r w:rsidR="005A6893">
        <w:rPr>
          <w:rFonts w:hint="eastAsia"/>
          <w:lang w:eastAsia="ja-JP"/>
        </w:rPr>
        <w:t xml:space="preserve">relative values of </w:t>
      </w:r>
      <w:r>
        <w:t xml:space="preserve">the diverter timing error </w:t>
      </w:r>
      <w:r w:rsidR="005A6893">
        <w:t xml:space="preserve">for the four working liquids </w:t>
      </w:r>
      <w:r w:rsidR="005A6893">
        <w:rPr>
          <w:rFonts w:hint="eastAsia"/>
          <w:lang w:eastAsia="ja-JP"/>
        </w:rPr>
        <w:t xml:space="preserve">at the flow rate range </w:t>
      </w:r>
      <w:r w:rsidR="005A6893">
        <w:t>w</w:t>
      </w:r>
      <w:r w:rsidR="005A6893">
        <w:rPr>
          <w:rFonts w:hint="eastAsia"/>
          <w:lang w:eastAsia="ja-JP"/>
        </w:rPr>
        <w:t>ere</w:t>
      </w:r>
      <w:r>
        <w:t xml:space="preserve"> less than ±0.009</w:t>
      </w:r>
      <w:r w:rsidR="00E71AB8">
        <w:rPr>
          <w:rFonts w:hint="eastAsia"/>
          <w:lang w:eastAsia="ja-JP"/>
        </w:rPr>
        <w:t xml:space="preserve"> </w:t>
      </w:r>
      <w:r>
        <w:t xml:space="preserve">%. </w:t>
      </w:r>
      <w:r w:rsidR="005A6893">
        <w:rPr>
          <w:rFonts w:hint="eastAsia"/>
          <w:lang w:eastAsia="ja-JP"/>
        </w:rPr>
        <w:t>The relative standard uncertainty due to the diverter timing error was estimated to be 0.005</w:t>
      </w:r>
      <w:r w:rsidR="009D6D64">
        <w:rPr>
          <w:rFonts w:hint="eastAsia"/>
          <w:lang w:eastAsia="ja-JP"/>
        </w:rPr>
        <w:t>2</w:t>
      </w:r>
      <w:r w:rsidR="005A6893">
        <w:rPr>
          <w:rFonts w:hint="eastAsia"/>
          <w:lang w:eastAsia="ja-JP"/>
        </w:rPr>
        <w:t xml:space="preserve"> %. </w:t>
      </w:r>
      <w:r>
        <w:t>Therefore, it was confirmed that the double wing diverter of this facility can be used with all four types</w:t>
      </w:r>
      <w:r w:rsidR="00A11722">
        <w:t xml:space="preserve"> of working liquids with</w:t>
      </w:r>
      <w:r w:rsidR="00A11722">
        <w:rPr>
          <w:rFonts w:hint="eastAsia"/>
          <w:lang w:eastAsia="ja-JP"/>
        </w:rPr>
        <w:t>in</w:t>
      </w:r>
      <w:r w:rsidR="00A11722">
        <w:t xml:space="preserve"> a </w:t>
      </w:r>
      <w:r w:rsidR="00A11722">
        <w:rPr>
          <w:rFonts w:hint="eastAsia"/>
          <w:lang w:eastAsia="ja-JP"/>
        </w:rPr>
        <w:t>demanded</w:t>
      </w:r>
      <w:r>
        <w:t xml:space="preserve"> uncertainty. </w:t>
      </w:r>
    </w:p>
    <w:p w:rsidR="00214863" w:rsidRDefault="00214863" w:rsidP="00214863">
      <w:pPr>
        <w:pStyle w:val="a4"/>
      </w:pPr>
    </w:p>
    <w:p w:rsidR="00FD6317" w:rsidRDefault="00904C8C" w:rsidP="00FD6317">
      <w:pPr>
        <w:rPr>
          <w:lang w:eastAsia="ja-JP"/>
        </w:rPr>
      </w:pPr>
      <w:r w:rsidRPr="00904C8C">
        <w:rPr>
          <w:noProof/>
          <w:lang w:val="en-US" w:eastAsia="ja-JP"/>
        </w:rPr>
        <w:drawing>
          <wp:inline distT="0" distB="0" distL="0" distR="0" wp14:anchorId="42C9F244" wp14:editId="585FEE2C">
            <wp:extent cx="2882900" cy="259720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418" cy="2594967"/>
                    </a:xfrm>
                    <a:prstGeom prst="rect">
                      <a:avLst/>
                    </a:prstGeom>
                    <a:noFill/>
                    <a:ln>
                      <a:noFill/>
                    </a:ln>
                  </pic:spPr>
                </pic:pic>
              </a:graphicData>
            </a:graphic>
          </wp:inline>
        </w:drawing>
      </w:r>
    </w:p>
    <w:p w:rsidR="008A33BE" w:rsidRDefault="008A33BE" w:rsidP="00FD6317">
      <w:pPr>
        <w:rPr>
          <w:lang w:eastAsia="ja-JP"/>
        </w:rPr>
      </w:pPr>
    </w:p>
    <w:p w:rsidR="00FD6317" w:rsidRPr="00FD6317" w:rsidRDefault="008A33BE" w:rsidP="008A33BE">
      <w:pPr>
        <w:pStyle w:val="a3"/>
        <w:jc w:val="left"/>
      </w:pPr>
      <w:r w:rsidRPr="008A33BE">
        <w:rPr>
          <w:szCs w:val="16"/>
        </w:rPr>
        <w:t xml:space="preserve">Figure </w:t>
      </w:r>
      <w:r>
        <w:rPr>
          <w:rFonts w:hint="eastAsia"/>
          <w:szCs w:val="16"/>
          <w:lang w:eastAsia="ja-JP"/>
        </w:rPr>
        <w:t>6</w:t>
      </w:r>
      <w:r w:rsidRPr="008A33BE">
        <w:rPr>
          <w:szCs w:val="16"/>
        </w:rPr>
        <w:t xml:space="preserve">: </w:t>
      </w:r>
      <w:r w:rsidRPr="00FB4C6C">
        <w:rPr>
          <w:b w:val="0"/>
        </w:rPr>
        <w:t>Diverter timing error after adjustment of Photosensors</w:t>
      </w:r>
      <w:r w:rsidRPr="00FD6317">
        <w:rPr>
          <w:b w:val="0"/>
        </w:rPr>
        <w:t>.</w:t>
      </w:r>
    </w:p>
    <w:p w:rsidR="00E32D2A" w:rsidRDefault="00E32D2A" w:rsidP="00E32D2A">
      <w:pPr>
        <w:pStyle w:val="a4"/>
        <w:tabs>
          <w:tab w:val="center" w:pos="2268"/>
          <w:tab w:val="right" w:pos="4536"/>
        </w:tabs>
        <w:rPr>
          <w:lang w:eastAsia="ja-JP"/>
        </w:rPr>
      </w:pPr>
    </w:p>
    <w:p w:rsidR="00E32D2A" w:rsidRDefault="000E3D09" w:rsidP="00E32D2A">
      <w:pPr>
        <w:pStyle w:val="a4"/>
        <w:rPr>
          <w:lang w:eastAsia="ja-JP"/>
        </w:rPr>
      </w:pPr>
      <w:r w:rsidRPr="000E3D09">
        <w:rPr>
          <w:noProof/>
          <w:lang w:val="en-US" w:eastAsia="ja-JP"/>
        </w:rPr>
        <w:drawing>
          <wp:inline distT="0" distB="0" distL="0" distR="0" wp14:anchorId="22B15FC3" wp14:editId="09B37B02">
            <wp:extent cx="2880360" cy="1883646"/>
            <wp:effectExtent l="0" t="0" r="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360" cy="1883646"/>
                    </a:xfrm>
                    <a:prstGeom prst="rect">
                      <a:avLst/>
                    </a:prstGeom>
                    <a:noFill/>
                    <a:ln>
                      <a:noFill/>
                    </a:ln>
                  </pic:spPr>
                </pic:pic>
              </a:graphicData>
            </a:graphic>
          </wp:inline>
        </w:drawing>
      </w:r>
    </w:p>
    <w:p w:rsidR="00E32D2A" w:rsidRDefault="00E32D2A" w:rsidP="008A33BE">
      <w:pPr>
        <w:rPr>
          <w:lang w:eastAsia="ja-JP"/>
        </w:rPr>
      </w:pPr>
    </w:p>
    <w:p w:rsidR="008A33BE" w:rsidRDefault="008A33BE" w:rsidP="008A33BE">
      <w:pPr>
        <w:pStyle w:val="a3"/>
        <w:jc w:val="left"/>
        <w:rPr>
          <w:b w:val="0"/>
          <w:lang w:eastAsia="ja-JP"/>
        </w:rPr>
      </w:pPr>
      <w:r w:rsidRPr="008A33BE">
        <w:rPr>
          <w:szCs w:val="16"/>
        </w:rPr>
        <w:t xml:space="preserve">Figure </w:t>
      </w:r>
      <w:r>
        <w:rPr>
          <w:rFonts w:hint="eastAsia"/>
          <w:szCs w:val="16"/>
          <w:lang w:eastAsia="ja-JP"/>
        </w:rPr>
        <w:t>7</w:t>
      </w:r>
      <w:r w:rsidRPr="008A33BE">
        <w:rPr>
          <w:szCs w:val="16"/>
        </w:rPr>
        <w:t xml:space="preserve">: </w:t>
      </w:r>
      <w:r w:rsidRPr="00C32478">
        <w:rPr>
          <w:b w:val="0"/>
        </w:rPr>
        <w:t>Relative error of diverter timing for</w:t>
      </w:r>
      <w:r>
        <w:rPr>
          <w:b w:val="0"/>
        </w:rPr>
        <w:t xml:space="preserve"> four different working liquids</w:t>
      </w:r>
      <w:r>
        <w:rPr>
          <w:rFonts w:hint="eastAsia"/>
          <w:b w:val="0"/>
          <w:lang w:eastAsia="ja-JP"/>
        </w:rPr>
        <w:t xml:space="preserve"> after readjustment</w:t>
      </w:r>
      <w:r w:rsidRPr="00A12E51">
        <w:rPr>
          <w:b w:val="0"/>
        </w:rPr>
        <w:t>.</w:t>
      </w:r>
    </w:p>
    <w:p w:rsidR="00FB4C6C" w:rsidRDefault="008A33BE" w:rsidP="00AB7073">
      <w:pPr>
        <w:pStyle w:val="a3"/>
        <w:jc w:val="left"/>
        <w:rPr>
          <w:lang w:eastAsia="ja-JP"/>
        </w:rPr>
      </w:pPr>
      <w:r>
        <w:rPr>
          <w:lang w:eastAsia="ja-JP"/>
        </w:rPr>
        <w:lastRenderedPageBreak/>
        <w:t xml:space="preserve"> </w:t>
      </w:r>
    </w:p>
    <w:p w:rsidR="005F2C46" w:rsidRDefault="005F2C46">
      <w:pPr>
        <w:pStyle w:val="1"/>
      </w:pPr>
      <w:r>
        <w:t xml:space="preserve">5. </w:t>
      </w:r>
      <w:r w:rsidR="00E32D2A">
        <w:rPr>
          <w:rFonts w:hint="eastAsia"/>
          <w:lang w:eastAsia="ja-JP"/>
        </w:rPr>
        <w:t>Uncertainty evaluation</w:t>
      </w:r>
    </w:p>
    <w:p w:rsidR="00481C7F" w:rsidRDefault="00481C7F" w:rsidP="00FF2D4B">
      <w:pPr>
        <w:pStyle w:val="a4"/>
        <w:rPr>
          <w:lang w:eastAsia="ja-JP"/>
        </w:rPr>
      </w:pPr>
    </w:p>
    <w:p w:rsidR="00702A1C" w:rsidRDefault="00336465" w:rsidP="00B370F7">
      <w:pPr>
        <w:pStyle w:val="a4"/>
        <w:tabs>
          <w:tab w:val="center" w:pos="2268"/>
          <w:tab w:val="right" w:pos="4536"/>
        </w:tabs>
        <w:rPr>
          <w:lang w:eastAsia="ja-JP"/>
        </w:rPr>
      </w:pPr>
      <w:r>
        <w:rPr>
          <w:lang w:eastAsia="ja-JP"/>
        </w:rPr>
        <w:t xml:space="preserve">The uncertainty components </w:t>
      </w:r>
      <w:r w:rsidR="00E32D2A" w:rsidRPr="00E32D2A">
        <w:rPr>
          <w:lang w:eastAsia="ja-JP"/>
        </w:rPr>
        <w:t>were anal</w:t>
      </w:r>
      <w:r>
        <w:rPr>
          <w:lang w:eastAsia="ja-JP"/>
        </w:rPr>
        <w:t>y</w:t>
      </w:r>
      <w:r>
        <w:rPr>
          <w:rFonts w:hint="eastAsia"/>
          <w:lang w:eastAsia="ja-JP"/>
        </w:rPr>
        <w:t>s</w:t>
      </w:r>
      <w:r w:rsidR="00E32D2A" w:rsidRPr="00E32D2A">
        <w:rPr>
          <w:lang w:eastAsia="ja-JP"/>
        </w:rPr>
        <w:t xml:space="preserve">ed </w:t>
      </w:r>
      <w:r>
        <w:rPr>
          <w:rFonts w:hint="eastAsia"/>
          <w:lang w:eastAsia="ja-JP"/>
        </w:rPr>
        <w:t>a</w:t>
      </w:r>
      <w:r>
        <w:rPr>
          <w:lang w:eastAsia="ja-JP"/>
        </w:rPr>
        <w:t>nd are summarized in Table</w:t>
      </w:r>
      <w:r>
        <w:rPr>
          <w:rFonts w:hint="eastAsia"/>
          <w:lang w:eastAsia="ja-JP"/>
        </w:rPr>
        <w:t xml:space="preserve"> 3</w:t>
      </w:r>
      <w:r w:rsidR="00E32D2A" w:rsidRPr="00E32D2A">
        <w:rPr>
          <w:lang w:eastAsia="ja-JP"/>
        </w:rPr>
        <w:t>. The relative combined uncertainty for volumetric flow was calculated as the square root value of the sum of the squares of the uncertainty components. The uncertainty component of the density estimation was excluded from the relative combined uncertainty for mass flow because the liquid density value is not include</w:t>
      </w:r>
      <w:r>
        <w:rPr>
          <w:rFonts w:hint="eastAsia"/>
          <w:lang w:eastAsia="ja-JP"/>
        </w:rPr>
        <w:t>d</w:t>
      </w:r>
      <w:r w:rsidR="00E32D2A" w:rsidRPr="00E32D2A">
        <w:rPr>
          <w:lang w:eastAsia="ja-JP"/>
        </w:rPr>
        <w:t>. In this study, the combined standard uncertainties for this facility with the four working liquids for mass and volumetric flow were simplified to 0.010</w:t>
      </w:r>
      <w:r w:rsidR="00E71AB8">
        <w:rPr>
          <w:rFonts w:hint="eastAsia"/>
          <w:lang w:eastAsia="ja-JP"/>
        </w:rPr>
        <w:t xml:space="preserve"> </w:t>
      </w:r>
      <w:r w:rsidR="00E32D2A" w:rsidRPr="00E32D2A">
        <w:rPr>
          <w:lang w:eastAsia="ja-JP"/>
        </w:rPr>
        <w:t>% and 0.015</w:t>
      </w:r>
      <w:r w:rsidR="00E71AB8">
        <w:rPr>
          <w:rFonts w:hint="eastAsia"/>
          <w:lang w:eastAsia="ja-JP"/>
        </w:rPr>
        <w:t xml:space="preserve"> </w:t>
      </w:r>
      <w:r w:rsidR="00E32D2A" w:rsidRPr="00E32D2A">
        <w:rPr>
          <w:lang w:eastAsia="ja-JP"/>
        </w:rPr>
        <w:t>%, respectively. The coverage factor for the expanded unc</w:t>
      </w:r>
      <w:r>
        <w:rPr>
          <w:lang w:eastAsia="ja-JP"/>
        </w:rPr>
        <w:t xml:space="preserve">ertainty was considered to be </w:t>
      </w:r>
      <w:r w:rsidRPr="00336465">
        <w:rPr>
          <w:rFonts w:hint="eastAsia"/>
          <w:i/>
          <w:lang w:eastAsia="ja-JP"/>
        </w:rPr>
        <w:t>k</w:t>
      </w:r>
      <w:r>
        <w:rPr>
          <w:rFonts w:hint="eastAsia"/>
          <w:lang w:eastAsia="ja-JP"/>
        </w:rPr>
        <w:t xml:space="preserve">=2 </w:t>
      </w:r>
      <w:r w:rsidR="00E32D2A" w:rsidRPr="00E32D2A">
        <w:rPr>
          <w:lang w:eastAsia="ja-JP"/>
        </w:rPr>
        <w:t>and have a level of confidence of approximately 95</w:t>
      </w:r>
      <w:r w:rsidR="00E71AB8">
        <w:rPr>
          <w:rFonts w:hint="eastAsia"/>
          <w:lang w:eastAsia="ja-JP"/>
        </w:rPr>
        <w:t xml:space="preserve"> </w:t>
      </w:r>
      <w:r w:rsidR="00E32D2A" w:rsidRPr="00E32D2A">
        <w:rPr>
          <w:lang w:eastAsia="ja-JP"/>
        </w:rPr>
        <w:t>%. Thus, the expanded uncertainties of the calibration facility were estimated to be 0.02</w:t>
      </w:r>
      <w:r w:rsidR="00E71AB8">
        <w:rPr>
          <w:rFonts w:hint="eastAsia"/>
          <w:lang w:eastAsia="ja-JP"/>
        </w:rPr>
        <w:t xml:space="preserve">0 </w:t>
      </w:r>
      <w:r w:rsidR="00E32D2A" w:rsidRPr="00E32D2A">
        <w:rPr>
          <w:lang w:eastAsia="ja-JP"/>
        </w:rPr>
        <w:t>% for mass flow and 0.03</w:t>
      </w:r>
      <w:r w:rsidR="00E71AB8">
        <w:rPr>
          <w:rFonts w:hint="eastAsia"/>
          <w:lang w:eastAsia="ja-JP"/>
        </w:rPr>
        <w:t xml:space="preserve">0 </w:t>
      </w:r>
      <w:r w:rsidR="00E32D2A" w:rsidRPr="00E32D2A">
        <w:rPr>
          <w:lang w:eastAsia="ja-JP"/>
        </w:rPr>
        <w:t>% for volumetric flow for all types of liquids.</w:t>
      </w:r>
    </w:p>
    <w:p w:rsidR="001E1ED1" w:rsidRDefault="001E1ED1" w:rsidP="001E1ED1">
      <w:pPr>
        <w:pStyle w:val="a4"/>
        <w:rPr>
          <w:lang w:eastAsia="ja-JP"/>
        </w:rPr>
      </w:pPr>
    </w:p>
    <w:p w:rsidR="001E1ED1" w:rsidRPr="00FF2D4B" w:rsidRDefault="001E1ED1" w:rsidP="001E1ED1">
      <w:pPr>
        <w:pStyle w:val="a4"/>
        <w:jc w:val="left"/>
        <w:rPr>
          <w:sz w:val="16"/>
          <w:lang w:eastAsia="ja-JP"/>
        </w:rPr>
      </w:pPr>
      <w:r w:rsidRPr="00FF2D4B">
        <w:rPr>
          <w:b/>
          <w:sz w:val="16"/>
        </w:rPr>
        <w:t xml:space="preserve">Table </w:t>
      </w:r>
      <w:r w:rsidR="00336465">
        <w:rPr>
          <w:rFonts w:hint="eastAsia"/>
          <w:b/>
          <w:sz w:val="16"/>
          <w:lang w:eastAsia="ja-JP"/>
        </w:rPr>
        <w:t>3</w:t>
      </w:r>
      <w:r>
        <w:rPr>
          <w:b/>
          <w:sz w:val="16"/>
        </w:rPr>
        <w:t xml:space="preserve">: </w:t>
      </w:r>
      <w:r w:rsidR="00336465" w:rsidRPr="00336465">
        <w:rPr>
          <w:sz w:val="16"/>
        </w:rPr>
        <w:t>Relative combined standard uncertainties of calibrated K-factors for mass and volumetric flowmeters</w:t>
      </w:r>
      <w:r w:rsidR="001C1556">
        <w:rPr>
          <w:rFonts w:hint="eastAsia"/>
          <w:sz w:val="16"/>
          <w:lang w:eastAsia="ja-JP"/>
        </w:rPr>
        <w:t>.</w:t>
      </w:r>
    </w:p>
    <w:tbl>
      <w:tblPr>
        <w:tblW w:w="4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09"/>
        <w:gridCol w:w="709"/>
        <w:gridCol w:w="709"/>
        <w:gridCol w:w="708"/>
      </w:tblGrid>
      <w:tr w:rsidR="001E1ED1" w:rsidTr="00601886">
        <w:trPr>
          <w:cantSplit/>
        </w:trPr>
        <w:tc>
          <w:tcPr>
            <w:tcW w:w="1701" w:type="dxa"/>
            <w:vMerge w:val="restart"/>
            <w:vAlign w:val="center"/>
          </w:tcPr>
          <w:p w:rsidR="001E1ED1" w:rsidRPr="00D223DE" w:rsidRDefault="001E1ED1" w:rsidP="00601886">
            <w:pPr>
              <w:pStyle w:val="a4"/>
              <w:jc w:val="center"/>
              <w:rPr>
                <w:b/>
                <w:sz w:val="16"/>
                <w:szCs w:val="16"/>
              </w:rPr>
            </w:pPr>
            <w:r w:rsidRPr="00D223DE">
              <w:rPr>
                <w:b/>
                <w:bCs/>
                <w:sz w:val="16"/>
                <w:szCs w:val="16"/>
                <w:lang w:val="en-US"/>
              </w:rPr>
              <w:t>Component</w:t>
            </w:r>
          </w:p>
        </w:tc>
        <w:tc>
          <w:tcPr>
            <w:tcW w:w="2835" w:type="dxa"/>
            <w:gridSpan w:val="4"/>
            <w:vAlign w:val="center"/>
          </w:tcPr>
          <w:p w:rsidR="001E1ED1" w:rsidRPr="00D223DE" w:rsidRDefault="001E1ED1" w:rsidP="009A6A4D">
            <w:pPr>
              <w:pStyle w:val="a4"/>
              <w:jc w:val="center"/>
              <w:rPr>
                <w:b/>
                <w:sz w:val="16"/>
                <w:szCs w:val="16"/>
              </w:rPr>
            </w:pPr>
            <w:r w:rsidRPr="005C249C">
              <w:rPr>
                <w:b/>
                <w:sz w:val="16"/>
                <w:szCs w:val="16"/>
              </w:rPr>
              <w:t>Relative standard uncertainty (%)</w:t>
            </w:r>
          </w:p>
        </w:tc>
      </w:tr>
      <w:tr w:rsidR="001E1ED1" w:rsidTr="009A6A4D">
        <w:trPr>
          <w:cantSplit/>
        </w:trPr>
        <w:tc>
          <w:tcPr>
            <w:tcW w:w="1701" w:type="dxa"/>
            <w:vMerge/>
          </w:tcPr>
          <w:p w:rsidR="001E1ED1" w:rsidRPr="00D223DE" w:rsidRDefault="001E1ED1" w:rsidP="009A6A4D">
            <w:pPr>
              <w:pStyle w:val="a4"/>
              <w:rPr>
                <w:b/>
                <w:sz w:val="16"/>
                <w:szCs w:val="16"/>
              </w:rPr>
            </w:pPr>
          </w:p>
        </w:tc>
        <w:tc>
          <w:tcPr>
            <w:tcW w:w="709" w:type="dxa"/>
            <w:vAlign w:val="center"/>
          </w:tcPr>
          <w:p w:rsidR="001E1ED1" w:rsidRPr="005C249C" w:rsidRDefault="001E1ED1" w:rsidP="009A6A4D">
            <w:pPr>
              <w:jc w:val="center"/>
              <w:rPr>
                <w:b/>
                <w:sz w:val="16"/>
              </w:rPr>
            </w:pPr>
            <w:r w:rsidRPr="005C249C">
              <w:rPr>
                <w:b/>
                <w:sz w:val="16"/>
              </w:rPr>
              <w:t>SP</w:t>
            </w:r>
          </w:p>
        </w:tc>
        <w:tc>
          <w:tcPr>
            <w:tcW w:w="709" w:type="dxa"/>
            <w:vAlign w:val="center"/>
          </w:tcPr>
          <w:p w:rsidR="001E1ED1" w:rsidRPr="005C249C" w:rsidRDefault="001E1ED1" w:rsidP="009A6A4D">
            <w:pPr>
              <w:jc w:val="center"/>
              <w:rPr>
                <w:b/>
                <w:sz w:val="16"/>
              </w:rPr>
            </w:pPr>
            <w:r w:rsidRPr="005C249C">
              <w:rPr>
                <w:b/>
                <w:sz w:val="16"/>
              </w:rPr>
              <w:t>LO</w:t>
            </w:r>
          </w:p>
        </w:tc>
        <w:tc>
          <w:tcPr>
            <w:tcW w:w="709" w:type="dxa"/>
            <w:vAlign w:val="center"/>
          </w:tcPr>
          <w:p w:rsidR="001E1ED1" w:rsidRPr="005C249C" w:rsidRDefault="001E1ED1" w:rsidP="009A6A4D">
            <w:pPr>
              <w:jc w:val="center"/>
              <w:rPr>
                <w:b/>
                <w:sz w:val="16"/>
              </w:rPr>
            </w:pPr>
            <w:r w:rsidRPr="005C249C">
              <w:rPr>
                <w:b/>
                <w:sz w:val="16"/>
              </w:rPr>
              <w:t>KE</w:t>
            </w:r>
          </w:p>
        </w:tc>
        <w:tc>
          <w:tcPr>
            <w:tcW w:w="708" w:type="dxa"/>
            <w:vAlign w:val="center"/>
          </w:tcPr>
          <w:p w:rsidR="001E1ED1" w:rsidRPr="005C249C" w:rsidRDefault="001E1ED1" w:rsidP="009A6A4D">
            <w:pPr>
              <w:jc w:val="center"/>
              <w:rPr>
                <w:b/>
                <w:sz w:val="16"/>
              </w:rPr>
            </w:pPr>
            <w:r w:rsidRPr="005C249C">
              <w:rPr>
                <w:b/>
                <w:sz w:val="16"/>
              </w:rPr>
              <w:t>GA</w:t>
            </w:r>
          </w:p>
        </w:tc>
      </w:tr>
      <w:tr w:rsidR="001E1ED1" w:rsidTr="009A6A4D">
        <w:tc>
          <w:tcPr>
            <w:tcW w:w="1701" w:type="dxa"/>
            <w:vAlign w:val="center"/>
          </w:tcPr>
          <w:p w:rsidR="001E1ED1" w:rsidRPr="00D223DE" w:rsidRDefault="001E1ED1" w:rsidP="009A6A4D">
            <w:pPr>
              <w:rPr>
                <w:sz w:val="16"/>
                <w:szCs w:val="16"/>
              </w:rPr>
            </w:pPr>
            <w:r w:rsidRPr="00D223DE">
              <w:rPr>
                <w:sz w:val="16"/>
                <w:szCs w:val="16"/>
              </w:rPr>
              <w:t>Pulse counting</w:t>
            </w:r>
          </w:p>
        </w:tc>
        <w:tc>
          <w:tcPr>
            <w:tcW w:w="709" w:type="dxa"/>
            <w:vAlign w:val="center"/>
          </w:tcPr>
          <w:p w:rsidR="001E1ED1" w:rsidRPr="005C249C" w:rsidRDefault="001E1ED1" w:rsidP="009A6A4D">
            <w:pPr>
              <w:jc w:val="center"/>
              <w:rPr>
                <w:sz w:val="16"/>
              </w:rPr>
            </w:pPr>
            <w:r w:rsidRPr="005C249C">
              <w:rPr>
                <w:sz w:val="16"/>
              </w:rPr>
              <w:t>0.0000</w:t>
            </w:r>
          </w:p>
        </w:tc>
        <w:tc>
          <w:tcPr>
            <w:tcW w:w="709" w:type="dxa"/>
            <w:vAlign w:val="center"/>
          </w:tcPr>
          <w:p w:rsidR="001E1ED1" w:rsidRPr="005C249C" w:rsidRDefault="001E1ED1" w:rsidP="009A6A4D">
            <w:pPr>
              <w:jc w:val="center"/>
              <w:rPr>
                <w:sz w:val="16"/>
              </w:rPr>
            </w:pPr>
            <w:r w:rsidRPr="005C249C">
              <w:rPr>
                <w:sz w:val="16"/>
              </w:rPr>
              <w:t>0.0000</w:t>
            </w:r>
          </w:p>
        </w:tc>
        <w:tc>
          <w:tcPr>
            <w:tcW w:w="709" w:type="dxa"/>
            <w:vAlign w:val="center"/>
          </w:tcPr>
          <w:p w:rsidR="001E1ED1" w:rsidRPr="005C249C" w:rsidRDefault="001E1ED1" w:rsidP="009A6A4D">
            <w:pPr>
              <w:jc w:val="center"/>
              <w:rPr>
                <w:sz w:val="16"/>
              </w:rPr>
            </w:pPr>
            <w:r w:rsidRPr="005C249C">
              <w:rPr>
                <w:sz w:val="16"/>
              </w:rPr>
              <w:t>0.0000</w:t>
            </w:r>
          </w:p>
        </w:tc>
        <w:tc>
          <w:tcPr>
            <w:tcW w:w="708" w:type="dxa"/>
            <w:vAlign w:val="center"/>
          </w:tcPr>
          <w:p w:rsidR="001E1ED1" w:rsidRPr="005C249C" w:rsidRDefault="001E1ED1" w:rsidP="009A6A4D">
            <w:pPr>
              <w:jc w:val="center"/>
              <w:rPr>
                <w:sz w:val="16"/>
              </w:rPr>
            </w:pPr>
            <w:r w:rsidRPr="005C249C">
              <w:rPr>
                <w:sz w:val="16"/>
              </w:rPr>
              <w:t>0.0000</w:t>
            </w:r>
          </w:p>
        </w:tc>
      </w:tr>
      <w:tr w:rsidR="001E1ED1" w:rsidTr="009A6A4D">
        <w:tc>
          <w:tcPr>
            <w:tcW w:w="1701" w:type="dxa"/>
            <w:vAlign w:val="center"/>
          </w:tcPr>
          <w:p w:rsidR="001E1ED1" w:rsidRPr="00D223DE" w:rsidRDefault="001E1ED1" w:rsidP="009A6A4D">
            <w:pPr>
              <w:rPr>
                <w:sz w:val="16"/>
                <w:szCs w:val="16"/>
              </w:rPr>
            </w:pPr>
            <w:r>
              <w:rPr>
                <w:sz w:val="16"/>
                <w:szCs w:val="16"/>
              </w:rPr>
              <w:t>Time</w:t>
            </w:r>
            <w:r>
              <w:rPr>
                <w:rFonts w:hint="eastAsia"/>
                <w:sz w:val="16"/>
                <w:szCs w:val="16"/>
                <w:lang w:eastAsia="ja-JP"/>
              </w:rPr>
              <w:t xml:space="preserve"> m</w:t>
            </w:r>
            <w:r>
              <w:rPr>
                <w:sz w:val="16"/>
                <w:szCs w:val="16"/>
              </w:rPr>
              <w:t>easurement</w:t>
            </w:r>
            <w:r>
              <w:rPr>
                <w:rFonts w:hint="eastAsia"/>
                <w:sz w:val="16"/>
                <w:szCs w:val="16"/>
                <w:lang w:eastAsia="ja-JP"/>
              </w:rPr>
              <w:t xml:space="preserve"> </w:t>
            </w:r>
            <w:r w:rsidRPr="00D223DE">
              <w:rPr>
                <w:sz w:val="16"/>
                <w:szCs w:val="16"/>
              </w:rPr>
              <w:t>of pulse duration</w:t>
            </w:r>
          </w:p>
        </w:tc>
        <w:tc>
          <w:tcPr>
            <w:tcW w:w="709" w:type="dxa"/>
            <w:vAlign w:val="center"/>
          </w:tcPr>
          <w:p w:rsidR="001E1ED1" w:rsidRPr="005C249C" w:rsidRDefault="001E1ED1" w:rsidP="009A6A4D">
            <w:pPr>
              <w:jc w:val="center"/>
              <w:rPr>
                <w:sz w:val="16"/>
              </w:rPr>
            </w:pPr>
            <w:r w:rsidRPr="005C249C">
              <w:rPr>
                <w:sz w:val="16"/>
              </w:rPr>
              <w:t>0.0014</w:t>
            </w:r>
          </w:p>
        </w:tc>
        <w:tc>
          <w:tcPr>
            <w:tcW w:w="709" w:type="dxa"/>
            <w:vAlign w:val="center"/>
          </w:tcPr>
          <w:p w:rsidR="001E1ED1" w:rsidRPr="005C249C" w:rsidRDefault="001E1ED1" w:rsidP="009A6A4D">
            <w:pPr>
              <w:jc w:val="center"/>
              <w:rPr>
                <w:sz w:val="16"/>
              </w:rPr>
            </w:pPr>
            <w:r w:rsidRPr="005C249C">
              <w:rPr>
                <w:sz w:val="16"/>
              </w:rPr>
              <w:t>0.0014</w:t>
            </w:r>
          </w:p>
        </w:tc>
        <w:tc>
          <w:tcPr>
            <w:tcW w:w="709" w:type="dxa"/>
            <w:vAlign w:val="center"/>
          </w:tcPr>
          <w:p w:rsidR="001E1ED1" w:rsidRPr="005C249C" w:rsidRDefault="001E1ED1" w:rsidP="009A6A4D">
            <w:pPr>
              <w:jc w:val="center"/>
              <w:rPr>
                <w:sz w:val="16"/>
              </w:rPr>
            </w:pPr>
            <w:r w:rsidRPr="005C249C">
              <w:rPr>
                <w:sz w:val="16"/>
              </w:rPr>
              <w:t>0.0014</w:t>
            </w:r>
          </w:p>
        </w:tc>
        <w:tc>
          <w:tcPr>
            <w:tcW w:w="708" w:type="dxa"/>
            <w:vAlign w:val="center"/>
          </w:tcPr>
          <w:p w:rsidR="001E1ED1" w:rsidRPr="005C249C" w:rsidRDefault="001E1ED1" w:rsidP="009A6A4D">
            <w:pPr>
              <w:jc w:val="center"/>
              <w:rPr>
                <w:sz w:val="16"/>
              </w:rPr>
            </w:pPr>
            <w:r w:rsidRPr="005C249C">
              <w:rPr>
                <w:sz w:val="16"/>
              </w:rPr>
              <w:t>0.0014</w:t>
            </w:r>
          </w:p>
        </w:tc>
      </w:tr>
      <w:tr w:rsidR="001E1ED1" w:rsidTr="009A6A4D">
        <w:tc>
          <w:tcPr>
            <w:tcW w:w="1701" w:type="dxa"/>
            <w:vAlign w:val="center"/>
          </w:tcPr>
          <w:p w:rsidR="001E1ED1" w:rsidRPr="00D223DE" w:rsidRDefault="001E1ED1" w:rsidP="009A6A4D">
            <w:pPr>
              <w:rPr>
                <w:sz w:val="16"/>
                <w:szCs w:val="16"/>
              </w:rPr>
            </w:pPr>
            <w:r w:rsidRPr="00D223DE">
              <w:rPr>
                <w:sz w:val="16"/>
                <w:szCs w:val="16"/>
              </w:rPr>
              <w:t>Collection time</w:t>
            </w:r>
          </w:p>
        </w:tc>
        <w:tc>
          <w:tcPr>
            <w:tcW w:w="709" w:type="dxa"/>
            <w:vAlign w:val="center"/>
          </w:tcPr>
          <w:p w:rsidR="001E1ED1" w:rsidRPr="005C249C" w:rsidRDefault="001E1ED1" w:rsidP="009A6A4D">
            <w:pPr>
              <w:jc w:val="center"/>
              <w:rPr>
                <w:sz w:val="16"/>
              </w:rPr>
            </w:pPr>
            <w:r w:rsidRPr="005C249C">
              <w:rPr>
                <w:sz w:val="16"/>
              </w:rPr>
              <w:t>0.0054</w:t>
            </w:r>
          </w:p>
        </w:tc>
        <w:tc>
          <w:tcPr>
            <w:tcW w:w="709" w:type="dxa"/>
            <w:vAlign w:val="center"/>
          </w:tcPr>
          <w:p w:rsidR="001E1ED1" w:rsidRPr="005C249C" w:rsidRDefault="001E1ED1" w:rsidP="009A6A4D">
            <w:pPr>
              <w:jc w:val="center"/>
              <w:rPr>
                <w:sz w:val="16"/>
              </w:rPr>
            </w:pPr>
            <w:r w:rsidRPr="005C249C">
              <w:rPr>
                <w:sz w:val="16"/>
              </w:rPr>
              <w:t>0.0054</w:t>
            </w:r>
          </w:p>
        </w:tc>
        <w:tc>
          <w:tcPr>
            <w:tcW w:w="709" w:type="dxa"/>
            <w:vAlign w:val="center"/>
          </w:tcPr>
          <w:p w:rsidR="001E1ED1" w:rsidRPr="005C249C" w:rsidRDefault="001E1ED1" w:rsidP="009A6A4D">
            <w:pPr>
              <w:jc w:val="center"/>
              <w:rPr>
                <w:sz w:val="16"/>
              </w:rPr>
            </w:pPr>
            <w:r w:rsidRPr="005C249C">
              <w:rPr>
                <w:sz w:val="16"/>
              </w:rPr>
              <w:t>0.0054</w:t>
            </w:r>
          </w:p>
        </w:tc>
        <w:tc>
          <w:tcPr>
            <w:tcW w:w="708" w:type="dxa"/>
            <w:vAlign w:val="center"/>
          </w:tcPr>
          <w:p w:rsidR="001E1ED1" w:rsidRPr="005C249C" w:rsidRDefault="001E1ED1" w:rsidP="009A6A4D">
            <w:pPr>
              <w:jc w:val="center"/>
              <w:rPr>
                <w:sz w:val="16"/>
              </w:rPr>
            </w:pPr>
            <w:r w:rsidRPr="005C249C">
              <w:rPr>
                <w:sz w:val="16"/>
              </w:rPr>
              <w:t>0.0054</w:t>
            </w:r>
          </w:p>
        </w:tc>
      </w:tr>
      <w:tr w:rsidR="001E1ED1" w:rsidTr="009A6A4D">
        <w:tc>
          <w:tcPr>
            <w:tcW w:w="1701" w:type="dxa"/>
            <w:vAlign w:val="center"/>
          </w:tcPr>
          <w:p w:rsidR="001E1ED1" w:rsidRPr="00D223DE" w:rsidRDefault="001E1ED1" w:rsidP="009A6A4D">
            <w:pPr>
              <w:rPr>
                <w:sz w:val="16"/>
                <w:szCs w:val="16"/>
              </w:rPr>
            </w:pPr>
            <w:r w:rsidRPr="00D223DE">
              <w:rPr>
                <w:sz w:val="16"/>
                <w:szCs w:val="16"/>
              </w:rPr>
              <w:t>Mass measurement</w:t>
            </w:r>
          </w:p>
        </w:tc>
        <w:tc>
          <w:tcPr>
            <w:tcW w:w="709" w:type="dxa"/>
            <w:vAlign w:val="center"/>
          </w:tcPr>
          <w:p w:rsidR="001E1ED1" w:rsidRPr="005C249C" w:rsidRDefault="001E1ED1" w:rsidP="009A6A4D">
            <w:pPr>
              <w:jc w:val="center"/>
              <w:rPr>
                <w:sz w:val="16"/>
              </w:rPr>
            </w:pPr>
            <w:r w:rsidRPr="005C249C">
              <w:rPr>
                <w:sz w:val="16"/>
              </w:rPr>
              <w:t>0.0073</w:t>
            </w:r>
          </w:p>
        </w:tc>
        <w:tc>
          <w:tcPr>
            <w:tcW w:w="709" w:type="dxa"/>
            <w:vAlign w:val="center"/>
          </w:tcPr>
          <w:p w:rsidR="001E1ED1" w:rsidRPr="005C249C" w:rsidRDefault="001E1ED1" w:rsidP="009A6A4D">
            <w:pPr>
              <w:jc w:val="center"/>
              <w:rPr>
                <w:sz w:val="16"/>
              </w:rPr>
            </w:pPr>
            <w:r w:rsidRPr="005C249C">
              <w:rPr>
                <w:sz w:val="16"/>
              </w:rPr>
              <w:t>0.0073</w:t>
            </w:r>
          </w:p>
        </w:tc>
        <w:tc>
          <w:tcPr>
            <w:tcW w:w="709" w:type="dxa"/>
            <w:vAlign w:val="center"/>
          </w:tcPr>
          <w:p w:rsidR="001E1ED1" w:rsidRPr="005C249C" w:rsidRDefault="001E1ED1" w:rsidP="009A6A4D">
            <w:pPr>
              <w:jc w:val="center"/>
              <w:rPr>
                <w:sz w:val="16"/>
              </w:rPr>
            </w:pPr>
            <w:r w:rsidRPr="005C249C">
              <w:rPr>
                <w:sz w:val="16"/>
              </w:rPr>
              <w:t>0.0073</w:t>
            </w:r>
          </w:p>
        </w:tc>
        <w:tc>
          <w:tcPr>
            <w:tcW w:w="708" w:type="dxa"/>
            <w:vAlign w:val="center"/>
          </w:tcPr>
          <w:p w:rsidR="001E1ED1" w:rsidRPr="005C249C" w:rsidRDefault="001E1ED1" w:rsidP="009A6A4D">
            <w:pPr>
              <w:jc w:val="center"/>
              <w:rPr>
                <w:sz w:val="16"/>
              </w:rPr>
            </w:pPr>
            <w:r w:rsidRPr="005C249C">
              <w:rPr>
                <w:sz w:val="16"/>
              </w:rPr>
              <w:t>0.0063</w:t>
            </w:r>
          </w:p>
        </w:tc>
      </w:tr>
      <w:tr w:rsidR="001E1ED1" w:rsidTr="009A6A4D">
        <w:tc>
          <w:tcPr>
            <w:tcW w:w="1701" w:type="dxa"/>
            <w:vAlign w:val="center"/>
          </w:tcPr>
          <w:p w:rsidR="001E1ED1" w:rsidRPr="00D223DE" w:rsidRDefault="001E1ED1" w:rsidP="009A6A4D">
            <w:pPr>
              <w:rPr>
                <w:sz w:val="16"/>
                <w:szCs w:val="16"/>
              </w:rPr>
            </w:pPr>
            <w:r w:rsidRPr="00D223DE">
              <w:rPr>
                <w:sz w:val="16"/>
                <w:szCs w:val="16"/>
              </w:rPr>
              <w:t>Change in mass within connection volume</w:t>
            </w:r>
          </w:p>
        </w:tc>
        <w:tc>
          <w:tcPr>
            <w:tcW w:w="709" w:type="dxa"/>
            <w:vAlign w:val="center"/>
          </w:tcPr>
          <w:p w:rsidR="001E1ED1" w:rsidRPr="005C249C" w:rsidRDefault="001E1ED1" w:rsidP="009A6A4D">
            <w:pPr>
              <w:jc w:val="center"/>
              <w:rPr>
                <w:sz w:val="16"/>
              </w:rPr>
            </w:pPr>
            <w:r w:rsidRPr="005C249C">
              <w:rPr>
                <w:sz w:val="16"/>
              </w:rPr>
              <w:t>0.0006</w:t>
            </w:r>
          </w:p>
        </w:tc>
        <w:tc>
          <w:tcPr>
            <w:tcW w:w="709" w:type="dxa"/>
            <w:vAlign w:val="center"/>
          </w:tcPr>
          <w:p w:rsidR="001E1ED1" w:rsidRPr="005C249C" w:rsidRDefault="001E1ED1" w:rsidP="009A6A4D">
            <w:pPr>
              <w:jc w:val="center"/>
              <w:rPr>
                <w:sz w:val="16"/>
              </w:rPr>
            </w:pPr>
            <w:r w:rsidRPr="005C249C">
              <w:rPr>
                <w:sz w:val="16"/>
              </w:rPr>
              <w:t>0.0007</w:t>
            </w:r>
          </w:p>
        </w:tc>
        <w:tc>
          <w:tcPr>
            <w:tcW w:w="709" w:type="dxa"/>
            <w:vAlign w:val="center"/>
          </w:tcPr>
          <w:p w:rsidR="001E1ED1" w:rsidRPr="005C249C" w:rsidRDefault="001E1ED1" w:rsidP="009A6A4D">
            <w:pPr>
              <w:jc w:val="center"/>
              <w:rPr>
                <w:sz w:val="16"/>
              </w:rPr>
            </w:pPr>
            <w:r w:rsidRPr="005C249C">
              <w:rPr>
                <w:sz w:val="16"/>
              </w:rPr>
              <w:t>0.0007</w:t>
            </w:r>
          </w:p>
        </w:tc>
        <w:tc>
          <w:tcPr>
            <w:tcW w:w="708" w:type="dxa"/>
            <w:vAlign w:val="center"/>
          </w:tcPr>
          <w:p w:rsidR="001E1ED1" w:rsidRPr="005C249C" w:rsidRDefault="001E1ED1" w:rsidP="009A6A4D">
            <w:pPr>
              <w:jc w:val="center"/>
              <w:rPr>
                <w:sz w:val="16"/>
              </w:rPr>
            </w:pPr>
            <w:r w:rsidRPr="005C249C">
              <w:rPr>
                <w:sz w:val="16"/>
              </w:rPr>
              <w:t>0.0007</w:t>
            </w:r>
          </w:p>
        </w:tc>
      </w:tr>
      <w:tr w:rsidR="001E1ED1" w:rsidTr="009A6A4D">
        <w:tc>
          <w:tcPr>
            <w:tcW w:w="1701" w:type="dxa"/>
            <w:vAlign w:val="center"/>
          </w:tcPr>
          <w:p w:rsidR="001E1ED1" w:rsidRPr="00D223DE" w:rsidRDefault="001E1ED1" w:rsidP="009A6A4D">
            <w:pPr>
              <w:rPr>
                <w:sz w:val="16"/>
                <w:szCs w:val="16"/>
              </w:rPr>
            </w:pPr>
            <w:r w:rsidRPr="00D223DE">
              <w:rPr>
                <w:sz w:val="16"/>
                <w:szCs w:val="16"/>
              </w:rPr>
              <w:t>Liquid density estimation at flowmeter</w:t>
            </w:r>
          </w:p>
        </w:tc>
        <w:tc>
          <w:tcPr>
            <w:tcW w:w="709" w:type="dxa"/>
            <w:vAlign w:val="center"/>
          </w:tcPr>
          <w:p w:rsidR="001E1ED1" w:rsidRPr="005C249C" w:rsidRDefault="001E1ED1" w:rsidP="009A6A4D">
            <w:pPr>
              <w:jc w:val="center"/>
              <w:rPr>
                <w:sz w:val="16"/>
              </w:rPr>
            </w:pPr>
            <w:r w:rsidRPr="005C249C">
              <w:rPr>
                <w:sz w:val="16"/>
              </w:rPr>
              <w:t>0.0100</w:t>
            </w:r>
          </w:p>
        </w:tc>
        <w:tc>
          <w:tcPr>
            <w:tcW w:w="709" w:type="dxa"/>
            <w:vAlign w:val="center"/>
          </w:tcPr>
          <w:p w:rsidR="001E1ED1" w:rsidRPr="005C249C" w:rsidRDefault="001E1ED1" w:rsidP="009A6A4D">
            <w:pPr>
              <w:jc w:val="center"/>
              <w:rPr>
                <w:sz w:val="16"/>
              </w:rPr>
            </w:pPr>
            <w:r w:rsidRPr="005C249C">
              <w:rPr>
                <w:sz w:val="16"/>
              </w:rPr>
              <w:t>0.0103</w:t>
            </w:r>
          </w:p>
        </w:tc>
        <w:tc>
          <w:tcPr>
            <w:tcW w:w="709" w:type="dxa"/>
            <w:vAlign w:val="center"/>
          </w:tcPr>
          <w:p w:rsidR="001E1ED1" w:rsidRPr="005C249C" w:rsidRDefault="001E1ED1" w:rsidP="009A6A4D">
            <w:pPr>
              <w:jc w:val="center"/>
              <w:rPr>
                <w:sz w:val="16"/>
              </w:rPr>
            </w:pPr>
            <w:r w:rsidRPr="005C249C">
              <w:rPr>
                <w:sz w:val="16"/>
              </w:rPr>
              <w:t>0.0116</w:t>
            </w:r>
          </w:p>
        </w:tc>
        <w:tc>
          <w:tcPr>
            <w:tcW w:w="708" w:type="dxa"/>
            <w:vAlign w:val="center"/>
          </w:tcPr>
          <w:p w:rsidR="001E1ED1" w:rsidRPr="005C249C" w:rsidRDefault="001E1ED1" w:rsidP="009A6A4D">
            <w:pPr>
              <w:jc w:val="center"/>
              <w:rPr>
                <w:sz w:val="16"/>
              </w:rPr>
            </w:pPr>
            <w:r w:rsidRPr="005C249C">
              <w:rPr>
                <w:sz w:val="16"/>
              </w:rPr>
              <w:t>0.0123</w:t>
            </w:r>
          </w:p>
        </w:tc>
      </w:tr>
      <w:tr w:rsidR="001E1ED1" w:rsidTr="00601886">
        <w:tc>
          <w:tcPr>
            <w:tcW w:w="1701" w:type="dxa"/>
            <w:tcBorders>
              <w:bottom w:val="double" w:sz="4" w:space="0" w:color="auto"/>
            </w:tcBorders>
            <w:vAlign w:val="center"/>
          </w:tcPr>
          <w:p w:rsidR="001E1ED1" w:rsidRPr="00D223DE" w:rsidRDefault="001E1ED1" w:rsidP="009A6A4D">
            <w:pPr>
              <w:rPr>
                <w:sz w:val="16"/>
                <w:szCs w:val="16"/>
              </w:rPr>
            </w:pPr>
            <w:r w:rsidRPr="00D223DE">
              <w:rPr>
                <w:sz w:val="16"/>
                <w:szCs w:val="16"/>
              </w:rPr>
              <w:t>Random effect</w:t>
            </w:r>
          </w:p>
        </w:tc>
        <w:tc>
          <w:tcPr>
            <w:tcW w:w="709" w:type="dxa"/>
            <w:tcBorders>
              <w:bottom w:val="double" w:sz="4" w:space="0" w:color="auto"/>
            </w:tcBorders>
            <w:vAlign w:val="center"/>
          </w:tcPr>
          <w:p w:rsidR="001E1ED1" w:rsidRPr="005C249C" w:rsidRDefault="001E1ED1" w:rsidP="009A6A4D">
            <w:pPr>
              <w:jc w:val="center"/>
              <w:rPr>
                <w:sz w:val="16"/>
              </w:rPr>
            </w:pPr>
            <w:r w:rsidRPr="005C249C">
              <w:rPr>
                <w:sz w:val="16"/>
              </w:rPr>
              <w:t>0.0020</w:t>
            </w:r>
          </w:p>
        </w:tc>
        <w:tc>
          <w:tcPr>
            <w:tcW w:w="709" w:type="dxa"/>
            <w:tcBorders>
              <w:bottom w:val="double" w:sz="4" w:space="0" w:color="auto"/>
            </w:tcBorders>
            <w:vAlign w:val="center"/>
          </w:tcPr>
          <w:p w:rsidR="001E1ED1" w:rsidRPr="005C249C" w:rsidRDefault="001E1ED1" w:rsidP="009A6A4D">
            <w:pPr>
              <w:jc w:val="center"/>
              <w:rPr>
                <w:sz w:val="16"/>
              </w:rPr>
            </w:pPr>
            <w:r w:rsidRPr="005C249C">
              <w:rPr>
                <w:sz w:val="16"/>
              </w:rPr>
              <w:t>0.0020</w:t>
            </w:r>
          </w:p>
        </w:tc>
        <w:tc>
          <w:tcPr>
            <w:tcW w:w="709" w:type="dxa"/>
            <w:tcBorders>
              <w:bottom w:val="double" w:sz="4" w:space="0" w:color="auto"/>
            </w:tcBorders>
            <w:vAlign w:val="center"/>
          </w:tcPr>
          <w:p w:rsidR="001E1ED1" w:rsidRPr="005C249C" w:rsidRDefault="001E1ED1" w:rsidP="009A6A4D">
            <w:pPr>
              <w:jc w:val="center"/>
              <w:rPr>
                <w:sz w:val="16"/>
              </w:rPr>
            </w:pPr>
            <w:r w:rsidRPr="005C249C">
              <w:rPr>
                <w:sz w:val="16"/>
              </w:rPr>
              <w:t>0.0020</w:t>
            </w:r>
          </w:p>
        </w:tc>
        <w:tc>
          <w:tcPr>
            <w:tcW w:w="708" w:type="dxa"/>
            <w:tcBorders>
              <w:bottom w:val="double" w:sz="4" w:space="0" w:color="auto"/>
            </w:tcBorders>
            <w:vAlign w:val="center"/>
          </w:tcPr>
          <w:p w:rsidR="001E1ED1" w:rsidRPr="005C249C" w:rsidRDefault="001E1ED1" w:rsidP="009A6A4D">
            <w:pPr>
              <w:jc w:val="center"/>
              <w:rPr>
                <w:sz w:val="16"/>
              </w:rPr>
            </w:pPr>
            <w:r w:rsidRPr="005C249C">
              <w:rPr>
                <w:sz w:val="16"/>
              </w:rPr>
              <w:t>0.0020</w:t>
            </w:r>
          </w:p>
        </w:tc>
      </w:tr>
      <w:tr w:rsidR="001E1ED1" w:rsidTr="00601886">
        <w:tc>
          <w:tcPr>
            <w:tcW w:w="1701" w:type="dxa"/>
            <w:tcBorders>
              <w:top w:val="double" w:sz="4" w:space="0" w:color="auto"/>
            </w:tcBorders>
            <w:vAlign w:val="center"/>
          </w:tcPr>
          <w:p w:rsidR="001E1ED1" w:rsidRPr="00D223DE" w:rsidRDefault="001E1ED1" w:rsidP="009A6A4D">
            <w:pPr>
              <w:rPr>
                <w:sz w:val="16"/>
                <w:szCs w:val="16"/>
              </w:rPr>
            </w:pPr>
            <w:r w:rsidRPr="00D223DE">
              <w:rPr>
                <w:sz w:val="16"/>
                <w:szCs w:val="16"/>
              </w:rPr>
              <w:t>Relative combined standard uncertainty for mass flow</w:t>
            </w:r>
          </w:p>
        </w:tc>
        <w:tc>
          <w:tcPr>
            <w:tcW w:w="709" w:type="dxa"/>
            <w:tcBorders>
              <w:top w:val="double" w:sz="4" w:space="0" w:color="auto"/>
            </w:tcBorders>
            <w:vAlign w:val="center"/>
          </w:tcPr>
          <w:p w:rsidR="001E1ED1" w:rsidRPr="005C249C" w:rsidRDefault="001E1ED1" w:rsidP="009A6A4D">
            <w:pPr>
              <w:jc w:val="center"/>
              <w:rPr>
                <w:sz w:val="16"/>
              </w:rPr>
            </w:pPr>
            <w:r w:rsidRPr="005C249C">
              <w:rPr>
                <w:sz w:val="16"/>
              </w:rPr>
              <w:t>0.0094</w:t>
            </w:r>
          </w:p>
        </w:tc>
        <w:tc>
          <w:tcPr>
            <w:tcW w:w="709" w:type="dxa"/>
            <w:tcBorders>
              <w:top w:val="double" w:sz="4" w:space="0" w:color="auto"/>
            </w:tcBorders>
            <w:vAlign w:val="center"/>
          </w:tcPr>
          <w:p w:rsidR="001E1ED1" w:rsidRPr="005C249C" w:rsidRDefault="001E1ED1" w:rsidP="009A6A4D">
            <w:pPr>
              <w:jc w:val="center"/>
              <w:rPr>
                <w:sz w:val="16"/>
              </w:rPr>
            </w:pPr>
            <w:r w:rsidRPr="005C249C">
              <w:rPr>
                <w:sz w:val="16"/>
              </w:rPr>
              <w:t>0.0095</w:t>
            </w:r>
          </w:p>
        </w:tc>
        <w:tc>
          <w:tcPr>
            <w:tcW w:w="709" w:type="dxa"/>
            <w:tcBorders>
              <w:top w:val="double" w:sz="4" w:space="0" w:color="auto"/>
            </w:tcBorders>
            <w:vAlign w:val="center"/>
          </w:tcPr>
          <w:p w:rsidR="001E1ED1" w:rsidRPr="005C249C" w:rsidRDefault="001E1ED1" w:rsidP="009A6A4D">
            <w:pPr>
              <w:jc w:val="center"/>
              <w:rPr>
                <w:sz w:val="16"/>
              </w:rPr>
            </w:pPr>
            <w:r w:rsidRPr="005C249C">
              <w:rPr>
                <w:sz w:val="16"/>
              </w:rPr>
              <w:t>0.0095</w:t>
            </w:r>
          </w:p>
        </w:tc>
        <w:tc>
          <w:tcPr>
            <w:tcW w:w="708" w:type="dxa"/>
            <w:tcBorders>
              <w:top w:val="double" w:sz="4" w:space="0" w:color="auto"/>
            </w:tcBorders>
            <w:vAlign w:val="center"/>
          </w:tcPr>
          <w:p w:rsidR="001E1ED1" w:rsidRPr="005C249C" w:rsidRDefault="001E1ED1" w:rsidP="009A6A4D">
            <w:pPr>
              <w:jc w:val="center"/>
              <w:rPr>
                <w:sz w:val="16"/>
              </w:rPr>
            </w:pPr>
            <w:r w:rsidRPr="005C249C">
              <w:rPr>
                <w:sz w:val="16"/>
              </w:rPr>
              <w:t>0.0087</w:t>
            </w:r>
          </w:p>
        </w:tc>
      </w:tr>
      <w:tr w:rsidR="001E1ED1" w:rsidTr="009A6A4D">
        <w:tc>
          <w:tcPr>
            <w:tcW w:w="1701" w:type="dxa"/>
            <w:vAlign w:val="center"/>
          </w:tcPr>
          <w:p w:rsidR="001E1ED1" w:rsidRPr="00D223DE" w:rsidRDefault="001E1ED1" w:rsidP="009A6A4D">
            <w:pPr>
              <w:rPr>
                <w:sz w:val="16"/>
                <w:szCs w:val="16"/>
              </w:rPr>
            </w:pPr>
            <w:r w:rsidRPr="005C249C">
              <w:rPr>
                <w:sz w:val="16"/>
                <w:szCs w:val="16"/>
              </w:rPr>
              <w:t>Relative combined standard uncertainty for volumetric flow</w:t>
            </w:r>
          </w:p>
        </w:tc>
        <w:tc>
          <w:tcPr>
            <w:tcW w:w="709" w:type="dxa"/>
            <w:vAlign w:val="center"/>
          </w:tcPr>
          <w:p w:rsidR="001E1ED1" w:rsidRPr="005C249C" w:rsidRDefault="001E1ED1" w:rsidP="009A6A4D">
            <w:pPr>
              <w:jc w:val="center"/>
              <w:rPr>
                <w:sz w:val="16"/>
              </w:rPr>
            </w:pPr>
            <w:r w:rsidRPr="005C249C">
              <w:rPr>
                <w:sz w:val="16"/>
              </w:rPr>
              <w:t>0.0137</w:t>
            </w:r>
          </w:p>
        </w:tc>
        <w:tc>
          <w:tcPr>
            <w:tcW w:w="709" w:type="dxa"/>
            <w:vAlign w:val="center"/>
          </w:tcPr>
          <w:p w:rsidR="001E1ED1" w:rsidRPr="005C249C" w:rsidRDefault="001E1ED1" w:rsidP="009A6A4D">
            <w:pPr>
              <w:jc w:val="center"/>
              <w:rPr>
                <w:sz w:val="16"/>
              </w:rPr>
            </w:pPr>
            <w:r w:rsidRPr="005C249C">
              <w:rPr>
                <w:sz w:val="16"/>
              </w:rPr>
              <w:t>0.0139</w:t>
            </w:r>
          </w:p>
        </w:tc>
        <w:tc>
          <w:tcPr>
            <w:tcW w:w="709" w:type="dxa"/>
            <w:vAlign w:val="center"/>
          </w:tcPr>
          <w:p w:rsidR="001E1ED1" w:rsidRPr="005C249C" w:rsidRDefault="001E1ED1" w:rsidP="009A6A4D">
            <w:pPr>
              <w:jc w:val="center"/>
              <w:rPr>
                <w:sz w:val="16"/>
              </w:rPr>
            </w:pPr>
            <w:r w:rsidRPr="005C249C">
              <w:rPr>
                <w:sz w:val="16"/>
              </w:rPr>
              <w:t>0.0150</w:t>
            </w:r>
          </w:p>
        </w:tc>
        <w:tc>
          <w:tcPr>
            <w:tcW w:w="708" w:type="dxa"/>
            <w:vAlign w:val="center"/>
          </w:tcPr>
          <w:p w:rsidR="001E1ED1" w:rsidRPr="005C249C" w:rsidRDefault="001E1ED1" w:rsidP="009A6A4D">
            <w:pPr>
              <w:jc w:val="center"/>
              <w:rPr>
                <w:sz w:val="16"/>
              </w:rPr>
            </w:pPr>
            <w:r w:rsidRPr="005C249C">
              <w:rPr>
                <w:sz w:val="16"/>
              </w:rPr>
              <w:t>0.0150</w:t>
            </w:r>
          </w:p>
        </w:tc>
      </w:tr>
    </w:tbl>
    <w:p w:rsidR="005F2C46" w:rsidRPr="009815C4" w:rsidRDefault="005F2C46" w:rsidP="009815C4"/>
    <w:p w:rsidR="005F2C46" w:rsidRDefault="005F2C46">
      <w:pPr>
        <w:pStyle w:val="1"/>
      </w:pPr>
      <w:r>
        <w:t>7. Conclusion</w:t>
      </w:r>
    </w:p>
    <w:p w:rsidR="005F2C46" w:rsidRDefault="005F2C46">
      <w:pPr>
        <w:pStyle w:val="a4"/>
      </w:pPr>
    </w:p>
    <w:p w:rsidR="009815C4" w:rsidRDefault="009815C4" w:rsidP="009815C4">
      <w:pPr>
        <w:pStyle w:val="a4"/>
      </w:pPr>
      <w:r>
        <w:t xml:space="preserve">A flow calibration facility based on the gravimetric method using a double-wing diverter for hydrocarbon flows from 0.1 </w:t>
      </w:r>
      <w:proofErr w:type="gramStart"/>
      <w:r>
        <w:t>to 15 m</w:t>
      </w:r>
      <w:r w:rsidRPr="00586AD9">
        <w:rPr>
          <w:vertAlign w:val="superscript"/>
        </w:rPr>
        <w:t>3</w:t>
      </w:r>
      <w:r>
        <w:t>/h</w:t>
      </w:r>
      <w:proofErr w:type="gramEnd"/>
      <w:r>
        <w:t xml:space="preserve"> was constructed as a national measurement standard at NMIJ. The four considered types of working liquids were industrial gasoline, kerosene, light oil, and spindle oil, which </w:t>
      </w:r>
      <w:r w:rsidR="000651BC" w:rsidRPr="000651BC">
        <w:t>have kinematic viscosity range of</w:t>
      </w:r>
      <w:r w:rsidR="000651BC">
        <w:rPr>
          <w:rFonts w:hint="eastAsia"/>
          <w:lang w:eastAsia="ja-JP"/>
        </w:rPr>
        <w:t xml:space="preserve"> </w:t>
      </w:r>
      <w:r w:rsidR="000651BC" w:rsidRPr="00E53129">
        <w:t>1.2–24 mm</w:t>
      </w:r>
      <w:r w:rsidR="000651BC" w:rsidRPr="00225C0B">
        <w:rPr>
          <w:vertAlign w:val="superscript"/>
        </w:rPr>
        <w:t>2</w:t>
      </w:r>
      <w:r w:rsidR="000651BC" w:rsidRPr="00E53129">
        <w:t>/s.</w:t>
      </w:r>
      <w:r>
        <w:t xml:space="preserve"> </w:t>
      </w:r>
    </w:p>
    <w:p w:rsidR="009815C4" w:rsidRDefault="009815C4" w:rsidP="009815C4">
      <w:pPr>
        <w:pStyle w:val="a4"/>
      </w:pPr>
    </w:p>
    <w:p w:rsidR="009815C4" w:rsidRDefault="009815C4" w:rsidP="009815C4">
      <w:pPr>
        <w:pStyle w:val="a4"/>
      </w:pPr>
      <w:r>
        <w:t>The influence</w:t>
      </w:r>
      <w:r w:rsidR="00336465">
        <w:rPr>
          <w:rFonts w:hint="eastAsia"/>
          <w:lang w:eastAsia="ja-JP"/>
        </w:rPr>
        <w:t>s</w:t>
      </w:r>
      <w:r>
        <w:t xml:space="preserve"> of liquid properties on the calibration results we</w:t>
      </w:r>
      <w:r w:rsidR="00EA6E60">
        <w:t>re experimentally investigated.</w:t>
      </w:r>
      <w:r w:rsidR="00EA6E60">
        <w:rPr>
          <w:rFonts w:hint="eastAsia"/>
          <w:lang w:eastAsia="ja-JP"/>
        </w:rPr>
        <w:t xml:space="preserve"> </w:t>
      </w:r>
      <w:r>
        <w:t xml:space="preserve">Diverter timing errors for all types of working liquids were evaluated based on the experimental method described in ISO4185. It was confirmed that the values of the diverter timing error were reduced and were independent of the flow rate, nozzle diameter, and nozzle position. The diverter of the present facility satisfied the required features for all four considered working liquids. The temperature fluctuation was reduced to less than 0.05 K using a sophisticated temperature control system. </w:t>
      </w:r>
    </w:p>
    <w:p w:rsidR="009815C4" w:rsidRDefault="009815C4" w:rsidP="009815C4">
      <w:pPr>
        <w:pStyle w:val="a4"/>
      </w:pPr>
    </w:p>
    <w:p w:rsidR="005F2C46" w:rsidRDefault="009815C4" w:rsidP="009815C4">
      <w:pPr>
        <w:pStyle w:val="a4"/>
      </w:pPr>
      <w:r>
        <w:lastRenderedPageBreak/>
        <w:t>The expanded uncertainties (</w:t>
      </w:r>
      <w:r w:rsidRPr="00336465">
        <w:rPr>
          <w:i/>
        </w:rPr>
        <w:t>k</w:t>
      </w:r>
      <w:r>
        <w:t xml:space="preserve"> = 2) for the calibration facility were estimated to be 0.020</w:t>
      </w:r>
      <w:r w:rsidR="00E71AB8">
        <w:rPr>
          <w:rFonts w:hint="eastAsia"/>
          <w:lang w:eastAsia="ja-JP"/>
        </w:rPr>
        <w:t xml:space="preserve"> </w:t>
      </w:r>
      <w:r>
        <w:t>% for mass flow and 0.030</w:t>
      </w:r>
      <w:r w:rsidR="00E71AB8">
        <w:rPr>
          <w:rFonts w:hint="eastAsia"/>
          <w:lang w:eastAsia="ja-JP"/>
        </w:rPr>
        <w:t xml:space="preserve"> </w:t>
      </w:r>
      <w:r>
        <w:t xml:space="preserve">% for volumetric flow for all types of liquids. </w:t>
      </w:r>
    </w:p>
    <w:p w:rsidR="005F2C46" w:rsidRDefault="005F2C46">
      <w:pPr>
        <w:pStyle w:val="a4"/>
        <w:rPr>
          <w:lang w:eastAsia="ja-JP"/>
        </w:rPr>
      </w:pPr>
    </w:p>
    <w:p w:rsidR="005F2C46" w:rsidRDefault="005F2C46">
      <w:pPr>
        <w:pStyle w:val="1"/>
        <w:rPr>
          <w:lang w:eastAsia="ja-JP"/>
        </w:rPr>
      </w:pPr>
      <w:r>
        <w:t>References</w:t>
      </w:r>
    </w:p>
    <w:p w:rsidR="0030203B" w:rsidRPr="0030203B" w:rsidRDefault="0030203B" w:rsidP="0030203B">
      <w:pPr>
        <w:rPr>
          <w:lang w:eastAsia="ja-JP"/>
        </w:rPr>
      </w:pPr>
    </w:p>
    <w:p w:rsidR="0030203B" w:rsidRDefault="00617652" w:rsidP="0030203B">
      <w:pPr>
        <w:pStyle w:val="a4"/>
        <w:numPr>
          <w:ilvl w:val="0"/>
          <w:numId w:val="5"/>
        </w:numPr>
        <w:ind w:left="426" w:hanging="426"/>
      </w:pPr>
      <w:bookmarkStart w:id="1" w:name="_Ref458860501"/>
      <w:r w:rsidRPr="00617652">
        <w:t xml:space="preserve">Shimada, T., Doihara, R., Terao, Y. and Takamoto, T., </w:t>
      </w:r>
      <w:r w:rsidR="0030203B">
        <w:rPr>
          <w:lang w:eastAsia="ja-JP"/>
        </w:rPr>
        <w:t>“</w:t>
      </w:r>
      <w:r w:rsidRPr="00617652">
        <w:t>Development of hydrocarbon flow calibration facility as a national standard.</w:t>
      </w:r>
      <w:r w:rsidR="0030203B">
        <w:rPr>
          <w:lang w:eastAsia="ja-JP"/>
        </w:rPr>
        <w:t>”</w:t>
      </w:r>
      <w:r w:rsidR="00821DB4">
        <w:t xml:space="preserve"> </w:t>
      </w:r>
      <w:r w:rsidR="00821DB4" w:rsidRPr="00821DB4">
        <w:rPr>
          <w:i/>
        </w:rPr>
        <w:t>J. Fluid Sci. Technol</w:t>
      </w:r>
      <w:r w:rsidR="00821DB4">
        <w:rPr>
          <w:rFonts w:hint="eastAsia"/>
          <w:lang w:eastAsia="ja-JP"/>
        </w:rPr>
        <w:t xml:space="preserve">., </w:t>
      </w:r>
      <w:r w:rsidR="00821DB4" w:rsidRPr="00B21BA8">
        <w:rPr>
          <w:b/>
        </w:rPr>
        <w:t>Vol</w:t>
      </w:r>
      <w:r w:rsidR="00821DB4">
        <w:rPr>
          <w:rFonts w:hint="eastAsia"/>
          <w:b/>
          <w:lang w:eastAsia="ja-JP"/>
        </w:rPr>
        <w:t xml:space="preserve">. </w:t>
      </w:r>
      <w:r w:rsidRPr="00821DB4">
        <w:rPr>
          <w:b/>
        </w:rPr>
        <w:t>2</w:t>
      </w:r>
      <w:r w:rsidR="00821DB4">
        <w:rPr>
          <w:rFonts w:hint="eastAsia"/>
          <w:lang w:eastAsia="ja-JP"/>
        </w:rPr>
        <w:t xml:space="preserve">, </w:t>
      </w:r>
      <w:r w:rsidRPr="00617652">
        <w:t>23–34.</w:t>
      </w:r>
      <w:r w:rsidR="00821DB4">
        <w:rPr>
          <w:rFonts w:hint="eastAsia"/>
          <w:lang w:eastAsia="ja-JP"/>
        </w:rPr>
        <w:t xml:space="preserve"> 2007.</w:t>
      </w:r>
      <w:bookmarkEnd w:id="1"/>
    </w:p>
    <w:p w:rsidR="0030203B" w:rsidRPr="0030203B" w:rsidRDefault="00617652" w:rsidP="0030203B">
      <w:pPr>
        <w:pStyle w:val="a4"/>
        <w:numPr>
          <w:ilvl w:val="0"/>
          <w:numId w:val="5"/>
        </w:numPr>
        <w:ind w:left="426" w:hanging="426"/>
      </w:pPr>
      <w:bookmarkStart w:id="2" w:name="_Ref458860521"/>
      <w:r w:rsidRPr="0030203B">
        <w:t xml:space="preserve">Shimada, T., Oda, S., Takamoto, M. and Nagai, S., </w:t>
      </w:r>
      <w:r w:rsidR="0030203B">
        <w:rPr>
          <w:lang w:eastAsia="ja-JP"/>
        </w:rPr>
        <w:t>“</w:t>
      </w:r>
      <w:r w:rsidRPr="0030203B">
        <w:t>A novel diverter for liquid flow calibration facilities</w:t>
      </w:r>
      <w:r w:rsidR="0030203B">
        <w:rPr>
          <w:lang w:eastAsia="ja-JP"/>
        </w:rPr>
        <w:t>”</w:t>
      </w:r>
      <w:r w:rsidR="0030203B">
        <w:rPr>
          <w:rFonts w:hint="eastAsia"/>
          <w:lang w:eastAsia="ja-JP"/>
        </w:rPr>
        <w:t>,</w:t>
      </w:r>
      <w:r w:rsidRPr="0030203B">
        <w:t xml:space="preserve"> </w:t>
      </w:r>
      <w:r w:rsidRPr="00821DB4">
        <w:rPr>
          <w:i/>
        </w:rPr>
        <w:t>Proceedings of the 2001 NCSL International Works</w:t>
      </w:r>
      <w:r w:rsidR="0030203B" w:rsidRPr="00821DB4">
        <w:rPr>
          <w:i/>
        </w:rPr>
        <w:t>hop and Symposium</w:t>
      </w:r>
      <w:r w:rsidR="0030203B">
        <w:rPr>
          <w:rFonts w:hint="eastAsia"/>
          <w:lang w:eastAsia="ja-JP"/>
        </w:rPr>
        <w:t xml:space="preserve">, </w:t>
      </w:r>
      <w:bookmarkStart w:id="3" w:name="_Ref454543210"/>
      <w:r w:rsidR="0030203B">
        <w:t>2001</w:t>
      </w:r>
      <w:bookmarkEnd w:id="2"/>
      <w:r w:rsidR="0030203B" w:rsidRPr="0030203B">
        <w:rPr>
          <w:rFonts w:ascii="Arial" w:hAnsi="Arial" w:cstheme="minorBidi"/>
          <w:color w:val="FFC000"/>
          <w:kern w:val="2"/>
          <w:szCs w:val="22"/>
          <w:lang w:val="en-US" w:eastAsia="ja-JP"/>
        </w:rPr>
        <w:t xml:space="preserve"> </w:t>
      </w:r>
    </w:p>
    <w:p w:rsidR="0030203B" w:rsidRPr="0030203B" w:rsidRDefault="0030203B" w:rsidP="0030203B">
      <w:pPr>
        <w:pStyle w:val="a4"/>
        <w:numPr>
          <w:ilvl w:val="0"/>
          <w:numId w:val="5"/>
        </w:numPr>
        <w:ind w:left="426" w:hanging="426"/>
      </w:pPr>
      <w:bookmarkStart w:id="4" w:name="_Ref458860525"/>
      <w:r w:rsidRPr="0030203B">
        <w:rPr>
          <w:lang w:val="en-US"/>
        </w:rPr>
        <w:t xml:space="preserve">Shimada, T., Oda, S., Terao, Y. and Takamoto, M., </w:t>
      </w:r>
      <w:r>
        <w:rPr>
          <w:lang w:val="en-US" w:eastAsia="ja-JP"/>
        </w:rPr>
        <w:t>“</w:t>
      </w:r>
      <w:r w:rsidRPr="0030203B">
        <w:rPr>
          <w:lang w:val="en-US"/>
        </w:rPr>
        <w:t>Development of a new diverter system for liquid flow calibration facilities</w:t>
      </w:r>
      <w:r>
        <w:rPr>
          <w:lang w:val="en-US" w:eastAsia="ja-JP"/>
        </w:rPr>
        <w:t>”</w:t>
      </w:r>
      <w:r w:rsidRPr="0030203B">
        <w:rPr>
          <w:lang w:val="en-US"/>
        </w:rPr>
        <w:t xml:space="preserve">, </w:t>
      </w:r>
      <w:r w:rsidRPr="00821DB4">
        <w:rPr>
          <w:i/>
          <w:lang w:val="en-US"/>
        </w:rPr>
        <w:t>Flow measurement and Instrumentation</w:t>
      </w:r>
      <w:r w:rsidRPr="0030203B">
        <w:rPr>
          <w:lang w:val="en-US"/>
        </w:rPr>
        <w:t xml:space="preserve">, </w:t>
      </w:r>
      <w:r w:rsidR="00821DB4" w:rsidRPr="00B21BA8">
        <w:rPr>
          <w:b/>
        </w:rPr>
        <w:t>Vol</w:t>
      </w:r>
      <w:r w:rsidR="00821DB4">
        <w:rPr>
          <w:rFonts w:hint="eastAsia"/>
          <w:b/>
          <w:lang w:eastAsia="ja-JP"/>
        </w:rPr>
        <w:t>. 14</w:t>
      </w:r>
      <w:r w:rsidR="00821DB4">
        <w:rPr>
          <w:rFonts w:hint="eastAsia"/>
          <w:lang w:val="en-US" w:eastAsia="ja-JP"/>
        </w:rPr>
        <w:t xml:space="preserve">, </w:t>
      </w:r>
      <w:r w:rsidRPr="0030203B">
        <w:rPr>
          <w:lang w:val="en-US"/>
        </w:rPr>
        <w:t>89-96</w:t>
      </w:r>
      <w:r w:rsidR="00821DB4">
        <w:rPr>
          <w:rFonts w:hint="eastAsia"/>
          <w:lang w:val="en-US" w:eastAsia="ja-JP"/>
        </w:rPr>
        <w:t>, 2003</w:t>
      </w:r>
      <w:r w:rsidRPr="0030203B">
        <w:rPr>
          <w:lang w:val="en-US"/>
        </w:rPr>
        <w:t>.</w:t>
      </w:r>
      <w:bookmarkEnd w:id="3"/>
      <w:bookmarkEnd w:id="4"/>
      <w:r>
        <w:rPr>
          <w:rFonts w:hint="eastAsia"/>
          <w:lang w:val="en-US" w:eastAsia="ja-JP"/>
        </w:rPr>
        <w:t xml:space="preserve"> </w:t>
      </w:r>
    </w:p>
    <w:p w:rsidR="0030203B" w:rsidRPr="0030203B" w:rsidRDefault="0030203B" w:rsidP="0030203B">
      <w:pPr>
        <w:pStyle w:val="a4"/>
        <w:numPr>
          <w:ilvl w:val="0"/>
          <w:numId w:val="5"/>
        </w:numPr>
        <w:ind w:left="426" w:hanging="426"/>
      </w:pPr>
      <w:bookmarkStart w:id="5" w:name="_Ref458860739"/>
      <w:r w:rsidRPr="0030203B">
        <w:rPr>
          <w:lang w:val="en-US" w:eastAsia="ja-JP"/>
        </w:rPr>
        <w:t xml:space="preserve">Doihara, R., Shimada, T, Terao, Y. and Takamoto, M., </w:t>
      </w:r>
      <w:r w:rsidR="00821DB4">
        <w:rPr>
          <w:lang w:val="en-US" w:eastAsia="ja-JP"/>
        </w:rPr>
        <w:t>“</w:t>
      </w:r>
      <w:r w:rsidRPr="0030203B">
        <w:rPr>
          <w:lang w:val="en-US" w:eastAsia="ja-JP"/>
        </w:rPr>
        <w:t>Development of weighing tank system employing rotating double wing diverter</w:t>
      </w:r>
      <w:r w:rsidR="00821DB4">
        <w:rPr>
          <w:lang w:val="en-US" w:eastAsia="ja-JP"/>
        </w:rPr>
        <w:t>”</w:t>
      </w:r>
      <w:r w:rsidRPr="0030203B">
        <w:rPr>
          <w:lang w:val="en-US" w:eastAsia="ja-JP"/>
        </w:rPr>
        <w:t xml:space="preserve">, </w:t>
      </w:r>
      <w:r w:rsidRPr="00821DB4">
        <w:rPr>
          <w:i/>
          <w:lang w:val="en-US" w:eastAsia="ja-JP"/>
        </w:rPr>
        <w:t>Flow measurement and Instrumentation</w:t>
      </w:r>
      <w:r w:rsidRPr="0030203B">
        <w:rPr>
          <w:lang w:val="en-US" w:eastAsia="ja-JP"/>
        </w:rPr>
        <w:t xml:space="preserve">, </w:t>
      </w:r>
      <w:r w:rsidR="00821DB4" w:rsidRPr="00B21BA8">
        <w:rPr>
          <w:b/>
        </w:rPr>
        <w:t>Vol</w:t>
      </w:r>
      <w:r w:rsidR="00821DB4">
        <w:rPr>
          <w:rFonts w:hint="eastAsia"/>
          <w:b/>
          <w:lang w:eastAsia="ja-JP"/>
        </w:rPr>
        <w:t>. 17</w:t>
      </w:r>
      <w:r w:rsidR="00821DB4">
        <w:rPr>
          <w:rFonts w:hint="eastAsia"/>
          <w:lang w:val="en-US" w:eastAsia="ja-JP"/>
        </w:rPr>
        <w:t xml:space="preserve">, </w:t>
      </w:r>
      <w:r w:rsidRPr="0030203B">
        <w:rPr>
          <w:lang w:val="en-US" w:eastAsia="ja-JP"/>
        </w:rPr>
        <w:t>141-152</w:t>
      </w:r>
      <w:bookmarkStart w:id="6" w:name="_Ref457318566"/>
      <w:r w:rsidR="00821DB4">
        <w:rPr>
          <w:rFonts w:hint="eastAsia"/>
          <w:lang w:val="en-US" w:eastAsia="ja-JP"/>
        </w:rPr>
        <w:t>, 2006.</w:t>
      </w:r>
      <w:bookmarkEnd w:id="5"/>
      <w:r w:rsidRPr="0030203B">
        <w:rPr>
          <w:rFonts w:ascii="Arial" w:hAnsi="Arial" w:cstheme="minorBidi"/>
          <w:color w:val="FFC000"/>
          <w:kern w:val="2"/>
          <w:szCs w:val="22"/>
          <w:lang w:val="en-US" w:eastAsia="ja-JP"/>
        </w:rPr>
        <w:t xml:space="preserve"> </w:t>
      </w:r>
    </w:p>
    <w:p w:rsidR="00617652" w:rsidRPr="0030203B" w:rsidRDefault="0030203B" w:rsidP="0030203B">
      <w:pPr>
        <w:pStyle w:val="a4"/>
        <w:numPr>
          <w:ilvl w:val="0"/>
          <w:numId w:val="5"/>
        </w:numPr>
        <w:ind w:left="426" w:hanging="426"/>
      </w:pPr>
      <w:bookmarkStart w:id="7" w:name="_Ref458860685"/>
      <w:r w:rsidRPr="0030203B">
        <w:rPr>
          <w:lang w:val="en-US" w:eastAsia="ja-JP"/>
        </w:rPr>
        <w:t xml:space="preserve">Doihara, R., Shimada, T, Terao, Y. and Takamoto, M., </w:t>
      </w:r>
      <w:r w:rsidR="00821DB4">
        <w:rPr>
          <w:lang w:val="en-US" w:eastAsia="ja-JP"/>
        </w:rPr>
        <w:t>“</w:t>
      </w:r>
      <w:r w:rsidRPr="0030203B">
        <w:rPr>
          <w:lang w:val="en-US" w:eastAsia="ja-JP"/>
        </w:rPr>
        <w:t>Development of the national standard facility for hydrocarbon flow at 0.1 to 15m</w:t>
      </w:r>
      <w:r w:rsidRPr="0030203B">
        <w:rPr>
          <w:vertAlign w:val="superscript"/>
          <w:lang w:val="en-US" w:eastAsia="ja-JP"/>
        </w:rPr>
        <w:t>3</w:t>
      </w:r>
      <w:r w:rsidRPr="0030203B">
        <w:rPr>
          <w:lang w:val="en-US" w:eastAsia="ja-JP"/>
        </w:rPr>
        <w:t>/h</w:t>
      </w:r>
      <w:r w:rsidR="00821DB4">
        <w:rPr>
          <w:lang w:val="en-US" w:eastAsia="ja-JP"/>
        </w:rPr>
        <w:t>”</w:t>
      </w:r>
      <w:r w:rsidRPr="0030203B">
        <w:rPr>
          <w:lang w:val="en-US" w:eastAsia="ja-JP"/>
        </w:rPr>
        <w:t xml:space="preserve">, </w:t>
      </w:r>
      <w:r w:rsidRPr="00821DB4">
        <w:rPr>
          <w:i/>
          <w:lang w:val="en-US" w:eastAsia="ja-JP"/>
        </w:rPr>
        <w:t>The Proceedings of the International Flow Measure</w:t>
      </w:r>
      <w:r w:rsidR="00821DB4" w:rsidRPr="00821DB4">
        <w:rPr>
          <w:i/>
          <w:lang w:val="en-US" w:eastAsia="ja-JP"/>
        </w:rPr>
        <w:t>ment Conference</w:t>
      </w:r>
      <w:r w:rsidR="00821DB4">
        <w:rPr>
          <w:rFonts w:hint="eastAsia"/>
          <w:lang w:val="en-US" w:eastAsia="ja-JP"/>
        </w:rPr>
        <w:t xml:space="preserve"> </w:t>
      </w:r>
      <w:r w:rsidR="00821DB4" w:rsidRPr="00821DB4">
        <w:rPr>
          <w:rFonts w:hint="eastAsia"/>
          <w:i/>
          <w:lang w:val="en-US" w:eastAsia="ja-JP"/>
        </w:rPr>
        <w:t>FLOMEKO 2007</w:t>
      </w:r>
      <w:r w:rsidRPr="0030203B">
        <w:rPr>
          <w:lang w:val="en-US" w:eastAsia="ja-JP"/>
        </w:rPr>
        <w:t>.</w:t>
      </w:r>
      <w:bookmarkEnd w:id="6"/>
      <w:bookmarkEnd w:id="7"/>
    </w:p>
    <w:p w:rsidR="0030203B" w:rsidRPr="0030203B" w:rsidRDefault="0030203B" w:rsidP="0030203B">
      <w:pPr>
        <w:pStyle w:val="a4"/>
        <w:numPr>
          <w:ilvl w:val="0"/>
          <w:numId w:val="5"/>
        </w:numPr>
        <w:ind w:left="426" w:hanging="426"/>
        <w:rPr>
          <w:lang w:val="en-US"/>
        </w:rPr>
      </w:pPr>
      <w:bookmarkStart w:id="8" w:name="_Ref457329729"/>
      <w:bookmarkStart w:id="9" w:name="_Ref457416108"/>
      <w:bookmarkStart w:id="10" w:name="_Ref458960744"/>
      <w:r>
        <w:rPr>
          <w:lang w:val="en-US"/>
        </w:rPr>
        <w:t>ISO 4185</w:t>
      </w:r>
      <w:r>
        <w:rPr>
          <w:rFonts w:hint="eastAsia"/>
          <w:lang w:val="en-US" w:eastAsia="ja-JP"/>
        </w:rPr>
        <w:t>:</w:t>
      </w:r>
      <w:r w:rsidRPr="0030203B">
        <w:rPr>
          <w:lang w:val="en-US"/>
        </w:rPr>
        <w:t xml:space="preserve"> </w:t>
      </w:r>
      <w:r w:rsidRPr="00821DB4">
        <w:rPr>
          <w:i/>
          <w:lang w:val="en-US"/>
        </w:rPr>
        <w:t>Measurement of liquid flow in closed conduits – weighing methods</w:t>
      </w:r>
      <w:bookmarkEnd w:id="8"/>
      <w:bookmarkEnd w:id="9"/>
      <w:r>
        <w:rPr>
          <w:rFonts w:hint="eastAsia"/>
          <w:lang w:val="en-US" w:eastAsia="ja-JP"/>
        </w:rPr>
        <w:t>, 1980.</w:t>
      </w:r>
      <w:bookmarkEnd w:id="10"/>
    </w:p>
    <w:p w:rsidR="005F2C46" w:rsidRDefault="005F2C46">
      <w:pPr>
        <w:pStyle w:val="a4"/>
      </w:pPr>
    </w:p>
    <w:sectPr w:rsidR="005F2C46" w:rsidSect="00A86C33">
      <w:footerReference w:type="default" r:id="rId17"/>
      <w:type w:val="continuous"/>
      <w:pgSz w:w="11906" w:h="16838"/>
      <w:pgMar w:top="1134" w:right="1077" w:bottom="1134" w:left="1077" w:header="720" w:footer="720" w:gutter="0"/>
      <w:cols w:num="2" w:space="68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CE1" w:rsidRDefault="00994CE1" w:rsidP="00B370F7">
      <w:r>
        <w:separator/>
      </w:r>
    </w:p>
  </w:endnote>
  <w:endnote w:type="continuationSeparator" w:id="0">
    <w:p w:rsidR="00994CE1" w:rsidRDefault="00994CE1" w:rsidP="00B3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A4D" w:rsidRPr="00B370F7" w:rsidRDefault="009A6A4D" w:rsidP="005C07BE">
    <w:pPr>
      <w:pStyle w:val="aa"/>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535433">
      <w:rPr>
        <w:noProof/>
        <w:sz w:val="20"/>
      </w:rPr>
      <w:t>1</w:t>
    </w:r>
    <w:r w:rsidRPr="00B370F7">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A4D" w:rsidRPr="00250D41" w:rsidRDefault="009A6A4D" w:rsidP="00250D41">
    <w:pPr>
      <w:pStyle w:val="aa"/>
      <w:tabs>
        <w:tab w:val="right" w:pos="9781"/>
      </w:tabs>
      <w:rPr>
        <w:sz w:val="20"/>
      </w:rPr>
    </w:pPr>
  </w:p>
  <w:p w:rsidR="009A6A4D" w:rsidRPr="00B370F7" w:rsidRDefault="009A6A4D" w:rsidP="00250D41">
    <w:pPr>
      <w:pStyle w:val="aa"/>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535433">
      <w:rPr>
        <w:noProof/>
        <w:sz w:val="20"/>
      </w:rPr>
      <w:t>6</w:t>
    </w:r>
    <w:r w:rsidRPr="00B370F7">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CE1" w:rsidRDefault="00994CE1" w:rsidP="00B370F7">
      <w:r>
        <w:separator/>
      </w:r>
    </w:p>
  </w:footnote>
  <w:footnote w:type="continuationSeparator" w:id="0">
    <w:p w:rsidR="00994CE1" w:rsidRDefault="00994CE1" w:rsidP="00B370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BEF"/>
    <w:multiLevelType w:val="hybridMultilevel"/>
    <w:tmpl w:val="4A749EB2"/>
    <w:lvl w:ilvl="0" w:tplc="E098CE94">
      <w:start w:val="1"/>
      <w:numFmt w:val="decimal"/>
      <w:lvlText w:val="%1."/>
      <w:lvlJc w:val="left"/>
      <w:pPr>
        <w:tabs>
          <w:tab w:val="num" w:pos="720"/>
        </w:tabs>
        <w:ind w:left="720" w:hanging="360"/>
      </w:pPr>
      <w:rPr>
        <w:rFonts w:hint="default"/>
      </w:rPr>
    </w:lvl>
    <w:lvl w:ilvl="1" w:tplc="9D207DDC" w:tentative="1">
      <w:start w:val="1"/>
      <w:numFmt w:val="lowerLetter"/>
      <w:lvlText w:val="%2."/>
      <w:lvlJc w:val="left"/>
      <w:pPr>
        <w:tabs>
          <w:tab w:val="num" w:pos="1440"/>
        </w:tabs>
        <w:ind w:left="1440" w:hanging="360"/>
      </w:pPr>
    </w:lvl>
    <w:lvl w:ilvl="2" w:tplc="F718DCF4" w:tentative="1">
      <w:start w:val="1"/>
      <w:numFmt w:val="lowerRoman"/>
      <w:lvlText w:val="%3."/>
      <w:lvlJc w:val="right"/>
      <w:pPr>
        <w:tabs>
          <w:tab w:val="num" w:pos="2160"/>
        </w:tabs>
        <w:ind w:left="2160" w:hanging="180"/>
      </w:pPr>
    </w:lvl>
    <w:lvl w:ilvl="3" w:tplc="F9F48DCE" w:tentative="1">
      <w:start w:val="1"/>
      <w:numFmt w:val="decimal"/>
      <w:lvlText w:val="%4."/>
      <w:lvlJc w:val="left"/>
      <w:pPr>
        <w:tabs>
          <w:tab w:val="num" w:pos="2880"/>
        </w:tabs>
        <w:ind w:left="2880" w:hanging="360"/>
      </w:pPr>
    </w:lvl>
    <w:lvl w:ilvl="4" w:tplc="8CD2F178" w:tentative="1">
      <w:start w:val="1"/>
      <w:numFmt w:val="lowerLetter"/>
      <w:lvlText w:val="%5."/>
      <w:lvlJc w:val="left"/>
      <w:pPr>
        <w:tabs>
          <w:tab w:val="num" w:pos="3600"/>
        </w:tabs>
        <w:ind w:left="3600" w:hanging="360"/>
      </w:pPr>
    </w:lvl>
    <w:lvl w:ilvl="5" w:tplc="1F2E9A0A" w:tentative="1">
      <w:start w:val="1"/>
      <w:numFmt w:val="lowerRoman"/>
      <w:lvlText w:val="%6."/>
      <w:lvlJc w:val="right"/>
      <w:pPr>
        <w:tabs>
          <w:tab w:val="num" w:pos="4320"/>
        </w:tabs>
        <w:ind w:left="4320" w:hanging="180"/>
      </w:pPr>
    </w:lvl>
    <w:lvl w:ilvl="6" w:tplc="1836100E" w:tentative="1">
      <w:start w:val="1"/>
      <w:numFmt w:val="decimal"/>
      <w:lvlText w:val="%7."/>
      <w:lvlJc w:val="left"/>
      <w:pPr>
        <w:tabs>
          <w:tab w:val="num" w:pos="5040"/>
        </w:tabs>
        <w:ind w:left="5040" w:hanging="360"/>
      </w:pPr>
    </w:lvl>
    <w:lvl w:ilvl="7" w:tplc="4D46D95A" w:tentative="1">
      <w:start w:val="1"/>
      <w:numFmt w:val="lowerLetter"/>
      <w:lvlText w:val="%8."/>
      <w:lvlJc w:val="left"/>
      <w:pPr>
        <w:tabs>
          <w:tab w:val="num" w:pos="5760"/>
        </w:tabs>
        <w:ind w:left="5760" w:hanging="360"/>
      </w:pPr>
    </w:lvl>
    <w:lvl w:ilvl="8" w:tplc="DAE4DC74" w:tentative="1">
      <w:start w:val="1"/>
      <w:numFmt w:val="lowerRoman"/>
      <w:lvlText w:val="%9."/>
      <w:lvlJc w:val="right"/>
      <w:pPr>
        <w:tabs>
          <w:tab w:val="num" w:pos="6480"/>
        </w:tabs>
        <w:ind w:left="6480" w:hanging="180"/>
      </w:pPr>
    </w:lvl>
  </w:abstractNum>
  <w:abstractNum w:abstractNumId="1">
    <w:nsid w:val="40B34330"/>
    <w:multiLevelType w:val="hybridMultilevel"/>
    <w:tmpl w:val="B95A2BC8"/>
    <w:lvl w:ilvl="0" w:tplc="2CD65B6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2C92B30"/>
    <w:multiLevelType w:val="hybridMultilevel"/>
    <w:tmpl w:val="36DAB806"/>
    <w:lvl w:ilvl="0" w:tplc="97F89A0A">
      <w:start w:val="1"/>
      <w:numFmt w:val="decimal"/>
      <w:lvlText w:val="%1."/>
      <w:lvlJc w:val="left"/>
      <w:pPr>
        <w:tabs>
          <w:tab w:val="num" w:pos="720"/>
        </w:tabs>
        <w:ind w:left="720" w:hanging="360"/>
      </w:pPr>
      <w:rPr>
        <w:rFonts w:hint="default"/>
      </w:rPr>
    </w:lvl>
    <w:lvl w:ilvl="1" w:tplc="EB4EC2D6" w:tentative="1">
      <w:start w:val="1"/>
      <w:numFmt w:val="lowerLetter"/>
      <w:lvlText w:val="%2."/>
      <w:lvlJc w:val="left"/>
      <w:pPr>
        <w:tabs>
          <w:tab w:val="num" w:pos="1440"/>
        </w:tabs>
        <w:ind w:left="1440" w:hanging="360"/>
      </w:pPr>
    </w:lvl>
    <w:lvl w:ilvl="2" w:tplc="07886CDE" w:tentative="1">
      <w:start w:val="1"/>
      <w:numFmt w:val="lowerRoman"/>
      <w:lvlText w:val="%3."/>
      <w:lvlJc w:val="right"/>
      <w:pPr>
        <w:tabs>
          <w:tab w:val="num" w:pos="2160"/>
        </w:tabs>
        <w:ind w:left="2160" w:hanging="180"/>
      </w:pPr>
    </w:lvl>
    <w:lvl w:ilvl="3" w:tplc="08365304" w:tentative="1">
      <w:start w:val="1"/>
      <w:numFmt w:val="decimal"/>
      <w:lvlText w:val="%4."/>
      <w:lvlJc w:val="left"/>
      <w:pPr>
        <w:tabs>
          <w:tab w:val="num" w:pos="2880"/>
        </w:tabs>
        <w:ind w:left="2880" w:hanging="360"/>
      </w:pPr>
    </w:lvl>
    <w:lvl w:ilvl="4" w:tplc="30241B4A" w:tentative="1">
      <w:start w:val="1"/>
      <w:numFmt w:val="lowerLetter"/>
      <w:lvlText w:val="%5."/>
      <w:lvlJc w:val="left"/>
      <w:pPr>
        <w:tabs>
          <w:tab w:val="num" w:pos="3600"/>
        </w:tabs>
        <w:ind w:left="3600" w:hanging="360"/>
      </w:pPr>
    </w:lvl>
    <w:lvl w:ilvl="5" w:tplc="3DA8D728" w:tentative="1">
      <w:start w:val="1"/>
      <w:numFmt w:val="lowerRoman"/>
      <w:lvlText w:val="%6."/>
      <w:lvlJc w:val="right"/>
      <w:pPr>
        <w:tabs>
          <w:tab w:val="num" w:pos="4320"/>
        </w:tabs>
        <w:ind w:left="4320" w:hanging="180"/>
      </w:pPr>
    </w:lvl>
    <w:lvl w:ilvl="6" w:tplc="A6BAA0B4" w:tentative="1">
      <w:start w:val="1"/>
      <w:numFmt w:val="decimal"/>
      <w:lvlText w:val="%7."/>
      <w:lvlJc w:val="left"/>
      <w:pPr>
        <w:tabs>
          <w:tab w:val="num" w:pos="5040"/>
        </w:tabs>
        <w:ind w:left="5040" w:hanging="360"/>
      </w:pPr>
    </w:lvl>
    <w:lvl w:ilvl="7" w:tplc="9044115A" w:tentative="1">
      <w:start w:val="1"/>
      <w:numFmt w:val="lowerLetter"/>
      <w:lvlText w:val="%8."/>
      <w:lvlJc w:val="left"/>
      <w:pPr>
        <w:tabs>
          <w:tab w:val="num" w:pos="5760"/>
        </w:tabs>
        <w:ind w:left="5760" w:hanging="360"/>
      </w:pPr>
    </w:lvl>
    <w:lvl w:ilvl="8" w:tplc="04244972" w:tentative="1">
      <w:start w:val="1"/>
      <w:numFmt w:val="lowerRoman"/>
      <w:lvlText w:val="%9."/>
      <w:lvlJc w:val="right"/>
      <w:pPr>
        <w:tabs>
          <w:tab w:val="num" w:pos="6480"/>
        </w:tabs>
        <w:ind w:left="6480" w:hanging="180"/>
      </w:pPr>
    </w:lvl>
  </w:abstractNum>
  <w:abstractNum w:abstractNumId="3">
    <w:nsid w:val="65704C44"/>
    <w:multiLevelType w:val="hybridMultilevel"/>
    <w:tmpl w:val="097C1C70"/>
    <w:lvl w:ilvl="0" w:tplc="F6D02004">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75EE78FD"/>
    <w:multiLevelType w:val="hybridMultilevel"/>
    <w:tmpl w:val="C1AA2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7C4709D6"/>
    <w:multiLevelType w:val="hybridMultilevel"/>
    <w:tmpl w:val="D2D6EB9A"/>
    <w:lvl w:ilvl="0" w:tplc="EBE665D8">
      <w:start w:val="4"/>
      <w:numFmt w:val="decimal"/>
      <w:lvlText w:val="%1."/>
      <w:lvlJc w:val="left"/>
      <w:pPr>
        <w:tabs>
          <w:tab w:val="num" w:pos="1080"/>
        </w:tabs>
        <w:ind w:left="1080" w:hanging="720"/>
      </w:pPr>
      <w:rPr>
        <w:rFonts w:hint="default"/>
      </w:rPr>
    </w:lvl>
    <w:lvl w:ilvl="1" w:tplc="86FCDBBC" w:tentative="1">
      <w:start w:val="1"/>
      <w:numFmt w:val="lowerLetter"/>
      <w:lvlText w:val="%2."/>
      <w:lvlJc w:val="left"/>
      <w:pPr>
        <w:tabs>
          <w:tab w:val="num" w:pos="1440"/>
        </w:tabs>
        <w:ind w:left="1440" w:hanging="360"/>
      </w:pPr>
    </w:lvl>
    <w:lvl w:ilvl="2" w:tplc="72745876" w:tentative="1">
      <w:start w:val="1"/>
      <w:numFmt w:val="lowerRoman"/>
      <w:lvlText w:val="%3."/>
      <w:lvlJc w:val="right"/>
      <w:pPr>
        <w:tabs>
          <w:tab w:val="num" w:pos="2160"/>
        </w:tabs>
        <w:ind w:left="2160" w:hanging="180"/>
      </w:pPr>
    </w:lvl>
    <w:lvl w:ilvl="3" w:tplc="133412D6" w:tentative="1">
      <w:start w:val="1"/>
      <w:numFmt w:val="decimal"/>
      <w:lvlText w:val="%4."/>
      <w:lvlJc w:val="left"/>
      <w:pPr>
        <w:tabs>
          <w:tab w:val="num" w:pos="2880"/>
        </w:tabs>
        <w:ind w:left="2880" w:hanging="360"/>
      </w:pPr>
    </w:lvl>
    <w:lvl w:ilvl="4" w:tplc="04D4775E" w:tentative="1">
      <w:start w:val="1"/>
      <w:numFmt w:val="lowerLetter"/>
      <w:lvlText w:val="%5."/>
      <w:lvlJc w:val="left"/>
      <w:pPr>
        <w:tabs>
          <w:tab w:val="num" w:pos="3600"/>
        </w:tabs>
        <w:ind w:left="3600" w:hanging="360"/>
      </w:pPr>
    </w:lvl>
    <w:lvl w:ilvl="5" w:tplc="E3D2A262" w:tentative="1">
      <w:start w:val="1"/>
      <w:numFmt w:val="lowerRoman"/>
      <w:lvlText w:val="%6."/>
      <w:lvlJc w:val="right"/>
      <w:pPr>
        <w:tabs>
          <w:tab w:val="num" w:pos="4320"/>
        </w:tabs>
        <w:ind w:left="4320" w:hanging="180"/>
      </w:pPr>
    </w:lvl>
    <w:lvl w:ilvl="6" w:tplc="08621316" w:tentative="1">
      <w:start w:val="1"/>
      <w:numFmt w:val="decimal"/>
      <w:lvlText w:val="%7."/>
      <w:lvlJc w:val="left"/>
      <w:pPr>
        <w:tabs>
          <w:tab w:val="num" w:pos="5040"/>
        </w:tabs>
        <w:ind w:left="5040" w:hanging="360"/>
      </w:pPr>
    </w:lvl>
    <w:lvl w:ilvl="7" w:tplc="721E4316" w:tentative="1">
      <w:start w:val="1"/>
      <w:numFmt w:val="lowerLetter"/>
      <w:lvlText w:val="%8."/>
      <w:lvlJc w:val="left"/>
      <w:pPr>
        <w:tabs>
          <w:tab w:val="num" w:pos="5760"/>
        </w:tabs>
        <w:ind w:left="5760" w:hanging="360"/>
      </w:pPr>
    </w:lvl>
    <w:lvl w:ilvl="8" w:tplc="27D6B398"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C46"/>
    <w:rsid w:val="00005E57"/>
    <w:rsid w:val="00030219"/>
    <w:rsid w:val="000323CA"/>
    <w:rsid w:val="000651BC"/>
    <w:rsid w:val="000838ED"/>
    <w:rsid w:val="00092DA9"/>
    <w:rsid w:val="000A44D1"/>
    <w:rsid w:val="000B53C0"/>
    <w:rsid w:val="000E3D09"/>
    <w:rsid w:val="000E4897"/>
    <w:rsid w:val="000E5FFD"/>
    <w:rsid w:val="000F329C"/>
    <w:rsid w:val="0011255E"/>
    <w:rsid w:val="0012780A"/>
    <w:rsid w:val="0012797D"/>
    <w:rsid w:val="00140786"/>
    <w:rsid w:val="00174FF6"/>
    <w:rsid w:val="00183A0C"/>
    <w:rsid w:val="00196498"/>
    <w:rsid w:val="001A3DE5"/>
    <w:rsid w:val="001C1556"/>
    <w:rsid w:val="001E1ED1"/>
    <w:rsid w:val="001E661D"/>
    <w:rsid w:val="00214863"/>
    <w:rsid w:val="00225C0B"/>
    <w:rsid w:val="00246427"/>
    <w:rsid w:val="00247692"/>
    <w:rsid w:val="00250D41"/>
    <w:rsid w:val="002A73B9"/>
    <w:rsid w:val="002B4F7B"/>
    <w:rsid w:val="0030203B"/>
    <w:rsid w:val="0031790E"/>
    <w:rsid w:val="00336465"/>
    <w:rsid w:val="0035481B"/>
    <w:rsid w:val="00393A80"/>
    <w:rsid w:val="003B047B"/>
    <w:rsid w:val="003C0BF7"/>
    <w:rsid w:val="003C5255"/>
    <w:rsid w:val="003D6491"/>
    <w:rsid w:val="003D6C32"/>
    <w:rsid w:val="0040433F"/>
    <w:rsid w:val="0044262E"/>
    <w:rsid w:val="004458A9"/>
    <w:rsid w:val="00480CB8"/>
    <w:rsid w:val="00481C7F"/>
    <w:rsid w:val="004C2238"/>
    <w:rsid w:val="004D2685"/>
    <w:rsid w:val="00500374"/>
    <w:rsid w:val="00506BB6"/>
    <w:rsid w:val="005206F0"/>
    <w:rsid w:val="00535433"/>
    <w:rsid w:val="005767DF"/>
    <w:rsid w:val="00586AD9"/>
    <w:rsid w:val="005912E1"/>
    <w:rsid w:val="005A6893"/>
    <w:rsid w:val="005B3B20"/>
    <w:rsid w:val="005C07BE"/>
    <w:rsid w:val="005C249C"/>
    <w:rsid w:val="005F2C46"/>
    <w:rsid w:val="005F2F18"/>
    <w:rsid w:val="00601886"/>
    <w:rsid w:val="006072C5"/>
    <w:rsid w:val="00617652"/>
    <w:rsid w:val="006248F6"/>
    <w:rsid w:val="00641DAC"/>
    <w:rsid w:val="00657F17"/>
    <w:rsid w:val="006F12BB"/>
    <w:rsid w:val="006F6AE6"/>
    <w:rsid w:val="00702A1C"/>
    <w:rsid w:val="00712B4B"/>
    <w:rsid w:val="00767C5F"/>
    <w:rsid w:val="00782357"/>
    <w:rsid w:val="007D499A"/>
    <w:rsid w:val="007F73B3"/>
    <w:rsid w:val="00807BEF"/>
    <w:rsid w:val="00815774"/>
    <w:rsid w:val="00821DB4"/>
    <w:rsid w:val="0082370F"/>
    <w:rsid w:val="00825F28"/>
    <w:rsid w:val="008313FF"/>
    <w:rsid w:val="008357DD"/>
    <w:rsid w:val="0088537B"/>
    <w:rsid w:val="008A036F"/>
    <w:rsid w:val="008A33BE"/>
    <w:rsid w:val="008B29EC"/>
    <w:rsid w:val="008B4239"/>
    <w:rsid w:val="008F23F3"/>
    <w:rsid w:val="009038CF"/>
    <w:rsid w:val="00904C8C"/>
    <w:rsid w:val="00905079"/>
    <w:rsid w:val="00955CEC"/>
    <w:rsid w:val="00964C51"/>
    <w:rsid w:val="00974A84"/>
    <w:rsid w:val="009764D4"/>
    <w:rsid w:val="009815C4"/>
    <w:rsid w:val="00994CE1"/>
    <w:rsid w:val="009A6A4D"/>
    <w:rsid w:val="009D6D64"/>
    <w:rsid w:val="009E77CC"/>
    <w:rsid w:val="009F0B7A"/>
    <w:rsid w:val="00A0063B"/>
    <w:rsid w:val="00A11722"/>
    <w:rsid w:val="00A12E51"/>
    <w:rsid w:val="00A217DA"/>
    <w:rsid w:val="00A37210"/>
    <w:rsid w:val="00A45D7A"/>
    <w:rsid w:val="00A86C33"/>
    <w:rsid w:val="00AB51F5"/>
    <w:rsid w:val="00AB7073"/>
    <w:rsid w:val="00AD5B70"/>
    <w:rsid w:val="00AF5702"/>
    <w:rsid w:val="00B05CFB"/>
    <w:rsid w:val="00B21BA8"/>
    <w:rsid w:val="00B33C9D"/>
    <w:rsid w:val="00B35415"/>
    <w:rsid w:val="00B370F7"/>
    <w:rsid w:val="00B56E22"/>
    <w:rsid w:val="00B8734B"/>
    <w:rsid w:val="00BA2C13"/>
    <w:rsid w:val="00BA5820"/>
    <w:rsid w:val="00BB3608"/>
    <w:rsid w:val="00BE2A1A"/>
    <w:rsid w:val="00C32478"/>
    <w:rsid w:val="00C55F33"/>
    <w:rsid w:val="00C9298E"/>
    <w:rsid w:val="00CD34E4"/>
    <w:rsid w:val="00D0073E"/>
    <w:rsid w:val="00D13359"/>
    <w:rsid w:val="00D1405A"/>
    <w:rsid w:val="00D223DE"/>
    <w:rsid w:val="00D27C13"/>
    <w:rsid w:val="00D36A21"/>
    <w:rsid w:val="00D548B0"/>
    <w:rsid w:val="00D65FFF"/>
    <w:rsid w:val="00DA72D9"/>
    <w:rsid w:val="00DC2E99"/>
    <w:rsid w:val="00DF11E5"/>
    <w:rsid w:val="00E247B1"/>
    <w:rsid w:val="00E32D2A"/>
    <w:rsid w:val="00E53129"/>
    <w:rsid w:val="00E71AB8"/>
    <w:rsid w:val="00EA6110"/>
    <w:rsid w:val="00EA6E60"/>
    <w:rsid w:val="00EF045B"/>
    <w:rsid w:val="00F214A4"/>
    <w:rsid w:val="00F319F4"/>
    <w:rsid w:val="00F56684"/>
    <w:rsid w:val="00F62060"/>
    <w:rsid w:val="00F96FF1"/>
    <w:rsid w:val="00FB4C6C"/>
    <w:rsid w:val="00FC1BA3"/>
    <w:rsid w:val="00FD0423"/>
    <w:rsid w:val="00FD6317"/>
    <w:rsid w:val="00FE0CF1"/>
    <w:rsid w:val="00FE235C"/>
    <w:rsid w:val="00FE2A67"/>
    <w:rsid w:val="00FF2D4B"/>
    <w:rsid w:val="00FF3CB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lang w:val="en-AU" w:eastAsia="en-GB"/>
    </w:rPr>
  </w:style>
  <w:style w:type="paragraph" w:styleId="1">
    <w:name w:val="heading 1"/>
    <w:basedOn w:val="a"/>
    <w:next w:val="a"/>
    <w:link w:val="10"/>
    <w:qFormat/>
    <w:pPr>
      <w:keepNext/>
      <w:outlineLvl w:val="0"/>
    </w:pPr>
    <w:rPr>
      <w:b/>
      <w:sz w:val="20"/>
    </w:rPr>
  </w:style>
  <w:style w:type="paragraph" w:styleId="2">
    <w:name w:val="heading 2"/>
    <w:basedOn w:val="a"/>
    <w:next w:val="a"/>
    <w:qFormat/>
    <w:pPr>
      <w:keepNext/>
      <w:outlineLvl w:val="1"/>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before="120" w:after="120"/>
      <w:jc w:val="both"/>
    </w:pPr>
    <w:rPr>
      <w:b/>
      <w:sz w:val="16"/>
    </w:rPr>
  </w:style>
  <w:style w:type="paragraph" w:styleId="a4">
    <w:name w:val="Body Text"/>
    <w:basedOn w:val="a"/>
    <w:pPr>
      <w:jc w:val="both"/>
    </w:pPr>
    <w:rPr>
      <w:sz w:val="20"/>
    </w:rPr>
  </w:style>
  <w:style w:type="paragraph" w:styleId="a5">
    <w:name w:val="Title"/>
    <w:basedOn w:val="a"/>
    <w:qFormat/>
    <w:pPr>
      <w:jc w:val="center"/>
    </w:pPr>
    <w:rPr>
      <w:b/>
      <w:sz w:val="36"/>
    </w:rPr>
  </w:style>
  <w:style w:type="paragraph" w:styleId="a6">
    <w:name w:val="Body Text Indent"/>
    <w:basedOn w:val="a"/>
    <w:pPr>
      <w:ind w:left="360"/>
    </w:pPr>
  </w:style>
  <w:style w:type="paragraph" w:styleId="a7">
    <w:name w:val="List Paragraph"/>
    <w:basedOn w:val="a"/>
    <w:uiPriority w:val="34"/>
    <w:qFormat/>
    <w:rsid w:val="00B21BA8"/>
    <w:pPr>
      <w:ind w:left="720"/>
    </w:pPr>
  </w:style>
  <w:style w:type="paragraph" w:styleId="a8">
    <w:name w:val="header"/>
    <w:basedOn w:val="a"/>
    <w:link w:val="a9"/>
    <w:rsid w:val="00B370F7"/>
    <w:pPr>
      <w:tabs>
        <w:tab w:val="center" w:pos="4513"/>
        <w:tab w:val="right" w:pos="9026"/>
      </w:tabs>
    </w:pPr>
  </w:style>
  <w:style w:type="character" w:customStyle="1" w:styleId="a9">
    <w:name w:val="ヘッダー (文字)"/>
    <w:link w:val="a8"/>
    <w:rsid w:val="00B370F7"/>
    <w:rPr>
      <w:sz w:val="24"/>
      <w:lang w:val="en-AU" w:eastAsia="en-GB"/>
    </w:rPr>
  </w:style>
  <w:style w:type="paragraph" w:styleId="aa">
    <w:name w:val="footer"/>
    <w:basedOn w:val="a"/>
    <w:link w:val="ab"/>
    <w:rsid w:val="00B370F7"/>
    <w:pPr>
      <w:tabs>
        <w:tab w:val="center" w:pos="4513"/>
        <w:tab w:val="right" w:pos="9026"/>
      </w:tabs>
    </w:pPr>
  </w:style>
  <w:style w:type="character" w:customStyle="1" w:styleId="ab">
    <w:name w:val="フッター (文字)"/>
    <w:link w:val="aa"/>
    <w:rsid w:val="00B370F7"/>
    <w:rPr>
      <w:sz w:val="24"/>
      <w:lang w:val="en-AU" w:eastAsia="en-GB"/>
    </w:rPr>
  </w:style>
  <w:style w:type="paragraph" w:styleId="ac">
    <w:name w:val="Balloon Text"/>
    <w:basedOn w:val="a"/>
    <w:link w:val="ad"/>
    <w:rsid w:val="00250D41"/>
    <w:rPr>
      <w:rFonts w:ascii="Tahoma" w:hAnsi="Tahoma" w:cs="Tahoma"/>
      <w:sz w:val="16"/>
      <w:szCs w:val="16"/>
    </w:rPr>
  </w:style>
  <w:style w:type="character" w:customStyle="1" w:styleId="ad">
    <w:name w:val="吹き出し (文字)"/>
    <w:basedOn w:val="a0"/>
    <w:link w:val="ac"/>
    <w:rsid w:val="00250D41"/>
    <w:rPr>
      <w:rFonts w:ascii="Tahoma" w:hAnsi="Tahoma" w:cs="Tahoma"/>
      <w:sz w:val="16"/>
      <w:szCs w:val="16"/>
      <w:lang w:val="en-AU" w:eastAsia="en-GB"/>
    </w:rPr>
  </w:style>
  <w:style w:type="character" w:styleId="ae">
    <w:name w:val="Placeholder Text"/>
    <w:basedOn w:val="a0"/>
    <w:uiPriority w:val="99"/>
    <w:semiHidden/>
    <w:rsid w:val="00250D41"/>
    <w:rPr>
      <w:color w:val="808080"/>
    </w:rPr>
  </w:style>
  <w:style w:type="character" w:styleId="af">
    <w:name w:val="Hyperlink"/>
    <w:basedOn w:val="a0"/>
    <w:rsid w:val="00250D41"/>
    <w:rPr>
      <w:color w:val="0000FF" w:themeColor="hyperlink"/>
      <w:u w:val="single"/>
    </w:rPr>
  </w:style>
  <w:style w:type="character" w:styleId="af0">
    <w:name w:val="FollowedHyperlink"/>
    <w:basedOn w:val="a0"/>
    <w:rsid w:val="00A86C33"/>
    <w:rPr>
      <w:color w:val="800080" w:themeColor="followedHyperlink"/>
      <w:u w:val="single"/>
    </w:rPr>
  </w:style>
  <w:style w:type="character" w:customStyle="1" w:styleId="10">
    <w:name w:val="見出し 1 (文字)"/>
    <w:basedOn w:val="a0"/>
    <w:link w:val="1"/>
    <w:rsid w:val="00030219"/>
    <w:rPr>
      <w:b/>
      <w:lang w:val="en-AU"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lang w:val="en-AU" w:eastAsia="en-GB"/>
    </w:rPr>
  </w:style>
  <w:style w:type="paragraph" w:styleId="1">
    <w:name w:val="heading 1"/>
    <w:basedOn w:val="a"/>
    <w:next w:val="a"/>
    <w:link w:val="10"/>
    <w:qFormat/>
    <w:pPr>
      <w:keepNext/>
      <w:outlineLvl w:val="0"/>
    </w:pPr>
    <w:rPr>
      <w:b/>
      <w:sz w:val="20"/>
    </w:rPr>
  </w:style>
  <w:style w:type="paragraph" w:styleId="2">
    <w:name w:val="heading 2"/>
    <w:basedOn w:val="a"/>
    <w:next w:val="a"/>
    <w:qFormat/>
    <w:pPr>
      <w:keepNext/>
      <w:outlineLvl w:val="1"/>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before="120" w:after="120"/>
      <w:jc w:val="both"/>
    </w:pPr>
    <w:rPr>
      <w:b/>
      <w:sz w:val="16"/>
    </w:rPr>
  </w:style>
  <w:style w:type="paragraph" w:styleId="a4">
    <w:name w:val="Body Text"/>
    <w:basedOn w:val="a"/>
    <w:pPr>
      <w:jc w:val="both"/>
    </w:pPr>
    <w:rPr>
      <w:sz w:val="20"/>
    </w:rPr>
  </w:style>
  <w:style w:type="paragraph" w:styleId="a5">
    <w:name w:val="Title"/>
    <w:basedOn w:val="a"/>
    <w:qFormat/>
    <w:pPr>
      <w:jc w:val="center"/>
    </w:pPr>
    <w:rPr>
      <w:b/>
      <w:sz w:val="36"/>
    </w:rPr>
  </w:style>
  <w:style w:type="paragraph" w:styleId="a6">
    <w:name w:val="Body Text Indent"/>
    <w:basedOn w:val="a"/>
    <w:pPr>
      <w:ind w:left="360"/>
    </w:pPr>
  </w:style>
  <w:style w:type="paragraph" w:styleId="a7">
    <w:name w:val="List Paragraph"/>
    <w:basedOn w:val="a"/>
    <w:uiPriority w:val="34"/>
    <w:qFormat/>
    <w:rsid w:val="00B21BA8"/>
    <w:pPr>
      <w:ind w:left="720"/>
    </w:pPr>
  </w:style>
  <w:style w:type="paragraph" w:styleId="a8">
    <w:name w:val="header"/>
    <w:basedOn w:val="a"/>
    <w:link w:val="a9"/>
    <w:rsid w:val="00B370F7"/>
    <w:pPr>
      <w:tabs>
        <w:tab w:val="center" w:pos="4513"/>
        <w:tab w:val="right" w:pos="9026"/>
      </w:tabs>
    </w:pPr>
  </w:style>
  <w:style w:type="character" w:customStyle="1" w:styleId="a9">
    <w:name w:val="ヘッダー (文字)"/>
    <w:link w:val="a8"/>
    <w:rsid w:val="00B370F7"/>
    <w:rPr>
      <w:sz w:val="24"/>
      <w:lang w:val="en-AU" w:eastAsia="en-GB"/>
    </w:rPr>
  </w:style>
  <w:style w:type="paragraph" w:styleId="aa">
    <w:name w:val="footer"/>
    <w:basedOn w:val="a"/>
    <w:link w:val="ab"/>
    <w:rsid w:val="00B370F7"/>
    <w:pPr>
      <w:tabs>
        <w:tab w:val="center" w:pos="4513"/>
        <w:tab w:val="right" w:pos="9026"/>
      </w:tabs>
    </w:pPr>
  </w:style>
  <w:style w:type="character" w:customStyle="1" w:styleId="ab">
    <w:name w:val="フッター (文字)"/>
    <w:link w:val="aa"/>
    <w:rsid w:val="00B370F7"/>
    <w:rPr>
      <w:sz w:val="24"/>
      <w:lang w:val="en-AU" w:eastAsia="en-GB"/>
    </w:rPr>
  </w:style>
  <w:style w:type="paragraph" w:styleId="ac">
    <w:name w:val="Balloon Text"/>
    <w:basedOn w:val="a"/>
    <w:link w:val="ad"/>
    <w:rsid w:val="00250D41"/>
    <w:rPr>
      <w:rFonts w:ascii="Tahoma" w:hAnsi="Tahoma" w:cs="Tahoma"/>
      <w:sz w:val="16"/>
      <w:szCs w:val="16"/>
    </w:rPr>
  </w:style>
  <w:style w:type="character" w:customStyle="1" w:styleId="ad">
    <w:name w:val="吹き出し (文字)"/>
    <w:basedOn w:val="a0"/>
    <w:link w:val="ac"/>
    <w:rsid w:val="00250D41"/>
    <w:rPr>
      <w:rFonts w:ascii="Tahoma" w:hAnsi="Tahoma" w:cs="Tahoma"/>
      <w:sz w:val="16"/>
      <w:szCs w:val="16"/>
      <w:lang w:val="en-AU" w:eastAsia="en-GB"/>
    </w:rPr>
  </w:style>
  <w:style w:type="character" w:styleId="ae">
    <w:name w:val="Placeholder Text"/>
    <w:basedOn w:val="a0"/>
    <w:uiPriority w:val="99"/>
    <w:semiHidden/>
    <w:rsid w:val="00250D41"/>
    <w:rPr>
      <w:color w:val="808080"/>
    </w:rPr>
  </w:style>
  <w:style w:type="character" w:styleId="af">
    <w:name w:val="Hyperlink"/>
    <w:basedOn w:val="a0"/>
    <w:rsid w:val="00250D41"/>
    <w:rPr>
      <w:color w:val="0000FF" w:themeColor="hyperlink"/>
      <w:u w:val="single"/>
    </w:rPr>
  </w:style>
  <w:style w:type="character" w:styleId="af0">
    <w:name w:val="FollowedHyperlink"/>
    <w:basedOn w:val="a0"/>
    <w:rsid w:val="00A86C33"/>
    <w:rPr>
      <w:color w:val="800080" w:themeColor="followedHyperlink"/>
      <w:u w:val="single"/>
    </w:rPr>
  </w:style>
  <w:style w:type="character" w:customStyle="1" w:styleId="10">
    <w:name w:val="見出し 1 (文字)"/>
    <w:basedOn w:val="a0"/>
    <w:link w:val="1"/>
    <w:rsid w:val="00030219"/>
    <w:rPr>
      <w:b/>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d.white\Local%20Settings\Temporary%20Internet%20Files\Content.IE5\MIAAZWET\MSA2011%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AF81E-AEFE-438C-8BB6-C091E5797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MSA2011 template[1]</Template>
  <TotalTime>1</TotalTime>
  <Pages>6</Pages>
  <Words>3629</Words>
  <Characters>20689</Characters>
  <Application>Microsoft Office Word</Application>
  <DocSecurity>0</DocSecurity>
  <Lines>172</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MSA Value in Measurement 2004</vt:lpstr>
      <vt:lpstr>MSA Value in Measurement 2004</vt:lpstr>
    </vt:vector>
  </TitlesOfParts>
  <Company>Metrology Society of Australia</Company>
  <LinksUpToDate>false</LinksUpToDate>
  <CharactersWithSpaces>24270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 Value in Measurement 2004</dc:title>
  <dc:creator>rod.white</dc:creator>
  <cp:lastModifiedBy>土井原　良次</cp:lastModifiedBy>
  <cp:revision>2</cp:revision>
  <cp:lastPrinted>2016-08-15T08:48:00Z</cp:lastPrinted>
  <dcterms:created xsi:type="dcterms:W3CDTF">2016-08-15T09:45:00Z</dcterms:created>
  <dcterms:modified xsi:type="dcterms:W3CDTF">2016-08-15T09:45:00Z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iveCommonsLicenseID">
    <vt:lpwstr>standard&amp;commercial=y&amp;derivatives=n&amp;jurisdiction=</vt:lpwstr>
  </property>
  <property fmtid="{D5CDD505-2E9C-101B-9397-08002B2CF9AE}" pid="3" name="CreativeCommonsLicenseURL">
    <vt:lpwstr>http://creativecommons.org/licenses/by-nd/4.0/</vt:lpwstr>
  </property>
  <property fmtid="{D5CDD505-2E9C-101B-9397-08002B2CF9AE}" pid="4" name="CreativeCommonsLicenseXml">
    <vt:lpwstr>&lt;?xml version="1.0" encoding="utf-8"?&gt;&lt;result&gt;&lt;license-uri&gt;http://creativecommons.org/licenses/by-nd/4.0/&lt;/license-uri&gt;&lt;license-name&gt;Attribution-NoDerivatives 4.0 International&lt;/license-name&gt;&lt;deprecated&gt;false&lt;/deprecated&gt;&lt;rdf&gt;&lt;rdf:RDF xmlns="http://creati</vt:lpwstr>
  </property>
</Properties>
</file>