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E4CE" w14:textId="77777777" w:rsidR="00A245A0" w:rsidRDefault="00A245A0" w:rsidP="00A245A0">
      <w:pPr>
        <w:jc w:val="center"/>
        <w:rPr>
          <w:rFonts w:ascii="Arial" w:hAnsi="Arial" w:cs="Arial"/>
          <w:b/>
          <w:bCs/>
          <w:caps/>
          <w:sz w:val="28"/>
          <w:szCs w:val="28"/>
          <w:lang w:val="en-GB"/>
        </w:rPr>
      </w:pPr>
      <w:bookmarkStart w:id="0" w:name="_GoBack"/>
      <w:r w:rsidRPr="00AC121B">
        <w:rPr>
          <w:b/>
          <w:sz w:val="36"/>
        </w:rPr>
        <w:t>SIP-HLT07 contribu</w:t>
      </w:r>
      <w:r>
        <w:rPr>
          <w:b/>
          <w:sz w:val="36"/>
        </w:rPr>
        <w:t>tions to method improvement in s</w:t>
      </w:r>
      <w:r w:rsidRPr="00AC121B">
        <w:rPr>
          <w:b/>
          <w:sz w:val="36"/>
        </w:rPr>
        <w:t>yringe pumps calibration</w:t>
      </w:r>
      <w:r>
        <w:rPr>
          <w:rFonts w:ascii="Arial" w:hAnsi="Arial" w:cs="Arial"/>
          <w:b/>
          <w:bCs/>
          <w:caps/>
          <w:sz w:val="28"/>
          <w:szCs w:val="28"/>
          <w:lang w:val="en-GB"/>
        </w:rPr>
        <w:t xml:space="preserve"> </w:t>
      </w:r>
    </w:p>
    <w:bookmarkEnd w:id="0"/>
    <w:p w14:paraId="3EB59451" w14:textId="77777777" w:rsidR="005F2C46" w:rsidRPr="00CC244D" w:rsidRDefault="005F2C46">
      <w:pPr>
        <w:rPr>
          <w:lang w:val="en-GB"/>
        </w:rPr>
      </w:pPr>
    </w:p>
    <w:p w14:paraId="5707CD54" w14:textId="2A9D491B" w:rsidR="005F2C46" w:rsidRDefault="003329B2" w:rsidP="003053C2">
      <w:pPr>
        <w:jc w:val="center"/>
        <w:rPr>
          <w:b/>
          <w:lang w:val="pt-PT"/>
        </w:rPr>
      </w:pPr>
      <w:r w:rsidRPr="003329B2">
        <w:rPr>
          <w:b/>
          <w:lang w:val="pt-PT"/>
        </w:rPr>
        <w:t>Elsa Batista</w:t>
      </w:r>
      <w:r w:rsidRPr="003329B2">
        <w:rPr>
          <w:b/>
          <w:vertAlign w:val="superscript"/>
          <w:lang w:val="pt-PT"/>
        </w:rPr>
        <w:t>1</w:t>
      </w:r>
      <w:r w:rsidRPr="003329B2">
        <w:rPr>
          <w:b/>
          <w:lang w:val="pt-PT"/>
        </w:rPr>
        <w:t xml:space="preserve">, </w:t>
      </w:r>
      <w:r w:rsidR="002918B0" w:rsidRPr="00701169">
        <w:rPr>
          <w:b/>
          <w:lang w:val="pt-PT"/>
        </w:rPr>
        <w:t>Isabel Godinho</w:t>
      </w:r>
      <w:r w:rsidR="002918B0">
        <w:rPr>
          <w:b/>
          <w:vertAlign w:val="superscript"/>
          <w:lang w:val="pt-PT"/>
        </w:rPr>
        <w:t>2</w:t>
      </w:r>
      <w:r w:rsidR="002918B0" w:rsidRPr="00701169">
        <w:rPr>
          <w:b/>
          <w:lang w:val="pt-PT"/>
        </w:rPr>
        <w:t>,</w:t>
      </w:r>
      <w:r w:rsidR="002918B0">
        <w:rPr>
          <w:b/>
          <w:lang w:val="pt-PT"/>
        </w:rPr>
        <w:t xml:space="preserve"> Maria do Céu Ferreira</w:t>
      </w:r>
      <w:r w:rsidR="002918B0">
        <w:rPr>
          <w:b/>
          <w:vertAlign w:val="superscript"/>
          <w:lang w:val="pt-PT"/>
        </w:rPr>
        <w:t>3</w:t>
      </w:r>
      <w:r w:rsidR="002918B0">
        <w:rPr>
          <w:b/>
          <w:lang w:val="pt-PT"/>
        </w:rPr>
        <w:t>, Andreia Furtado</w:t>
      </w:r>
      <w:r w:rsidR="002918B0">
        <w:rPr>
          <w:b/>
          <w:vertAlign w:val="superscript"/>
          <w:lang w:val="pt-PT"/>
        </w:rPr>
        <w:t>4</w:t>
      </w:r>
      <w:r w:rsidR="002918B0">
        <w:rPr>
          <w:b/>
          <w:lang w:val="pt-PT"/>
        </w:rPr>
        <w:t>,</w:t>
      </w:r>
      <w:r w:rsidR="002918B0" w:rsidRPr="00701169">
        <w:rPr>
          <w:b/>
          <w:lang w:val="pt-PT"/>
        </w:rPr>
        <w:t xml:space="preserve"> </w:t>
      </w:r>
      <w:r w:rsidR="002918B0">
        <w:rPr>
          <w:b/>
          <w:lang w:val="pt-PT"/>
        </w:rPr>
        <w:t xml:space="preserve">Peter </w:t>
      </w:r>
      <w:r w:rsidR="003053C2">
        <w:rPr>
          <w:b/>
          <w:lang w:val="pt-PT"/>
        </w:rPr>
        <w:t>Lucas</w:t>
      </w:r>
      <w:r w:rsidR="003053C2">
        <w:rPr>
          <w:b/>
          <w:vertAlign w:val="superscript"/>
          <w:lang w:val="pt-PT"/>
        </w:rPr>
        <w:t>5</w:t>
      </w:r>
    </w:p>
    <w:p w14:paraId="615CEA8D" w14:textId="77777777" w:rsidR="003329B2" w:rsidRPr="003329B2" w:rsidRDefault="003329B2">
      <w:pPr>
        <w:jc w:val="center"/>
        <w:rPr>
          <w:i/>
          <w:sz w:val="22"/>
          <w:lang w:val="pt-PT"/>
        </w:rPr>
      </w:pPr>
    </w:p>
    <w:p w14:paraId="449F17A9" w14:textId="77777777" w:rsidR="003329B2" w:rsidRPr="00701169" w:rsidRDefault="003329B2" w:rsidP="003329B2">
      <w:pPr>
        <w:jc w:val="center"/>
        <w:rPr>
          <w:i/>
          <w:sz w:val="20"/>
          <w:lang w:val="pt-PT"/>
        </w:rPr>
      </w:pPr>
      <w:r w:rsidRPr="00701169">
        <w:rPr>
          <w:i/>
          <w:sz w:val="20"/>
          <w:vertAlign w:val="superscript"/>
          <w:lang w:val="pt-PT"/>
        </w:rPr>
        <w:t>1</w:t>
      </w:r>
      <w:r w:rsidRPr="00701169">
        <w:rPr>
          <w:i/>
          <w:sz w:val="20"/>
          <w:lang w:val="pt-PT"/>
        </w:rPr>
        <w:t>IPQ ebatista@ipq.pt,</w:t>
      </w:r>
      <w:r>
        <w:rPr>
          <w:i/>
          <w:sz w:val="20"/>
          <w:lang w:val="pt-PT"/>
        </w:rPr>
        <w:t xml:space="preserve"> </w:t>
      </w:r>
      <w:r w:rsidRPr="00701169">
        <w:rPr>
          <w:i/>
          <w:sz w:val="20"/>
          <w:lang w:val="pt-PT"/>
        </w:rPr>
        <w:t>Caparica, P</w:t>
      </w:r>
      <w:r>
        <w:rPr>
          <w:i/>
          <w:sz w:val="20"/>
          <w:lang w:val="pt-PT"/>
        </w:rPr>
        <w:t>ortugal</w:t>
      </w:r>
    </w:p>
    <w:p w14:paraId="265B9293" w14:textId="77777777" w:rsidR="003329B2" w:rsidRPr="00701169" w:rsidRDefault="003329B2" w:rsidP="003329B2">
      <w:pPr>
        <w:jc w:val="center"/>
        <w:rPr>
          <w:i/>
          <w:sz w:val="20"/>
          <w:lang w:val="pt-PT"/>
        </w:rPr>
      </w:pPr>
      <w:r w:rsidRPr="00701169">
        <w:rPr>
          <w:i/>
          <w:sz w:val="20"/>
          <w:vertAlign w:val="superscript"/>
          <w:lang w:val="pt-PT"/>
        </w:rPr>
        <w:t>2</w:t>
      </w:r>
      <w:r w:rsidRPr="00701169">
        <w:rPr>
          <w:i/>
          <w:sz w:val="20"/>
          <w:lang w:val="pt-PT"/>
        </w:rPr>
        <w:t xml:space="preserve"> IPQ </w:t>
      </w:r>
      <w:r>
        <w:rPr>
          <w:i/>
          <w:sz w:val="20"/>
          <w:lang w:val="pt-PT"/>
        </w:rPr>
        <w:t>igodinho</w:t>
      </w:r>
      <w:r w:rsidRPr="00701169">
        <w:rPr>
          <w:i/>
          <w:sz w:val="20"/>
          <w:lang w:val="pt-PT"/>
        </w:rPr>
        <w:t>@ipq.</w:t>
      </w:r>
      <w:r>
        <w:rPr>
          <w:i/>
          <w:sz w:val="20"/>
          <w:lang w:val="pt-PT"/>
        </w:rPr>
        <w:t>pt</w:t>
      </w:r>
      <w:r w:rsidRPr="00701169">
        <w:rPr>
          <w:i/>
          <w:sz w:val="20"/>
          <w:lang w:val="pt-PT"/>
        </w:rPr>
        <w:t>,</w:t>
      </w:r>
      <w:r>
        <w:rPr>
          <w:i/>
          <w:sz w:val="20"/>
          <w:lang w:val="pt-PT"/>
        </w:rPr>
        <w:t xml:space="preserve"> </w:t>
      </w:r>
      <w:r w:rsidRPr="00701169">
        <w:rPr>
          <w:i/>
          <w:sz w:val="20"/>
          <w:lang w:val="pt-PT"/>
        </w:rPr>
        <w:t>Caparica, P</w:t>
      </w:r>
      <w:r>
        <w:rPr>
          <w:i/>
          <w:sz w:val="20"/>
          <w:lang w:val="pt-PT"/>
        </w:rPr>
        <w:t>ortugal</w:t>
      </w:r>
    </w:p>
    <w:p w14:paraId="2212E5A0" w14:textId="77777777" w:rsidR="003329B2" w:rsidRDefault="003329B2" w:rsidP="002918B0">
      <w:pPr>
        <w:jc w:val="center"/>
        <w:rPr>
          <w:i/>
          <w:sz w:val="20"/>
          <w:lang w:val="pt-PT"/>
        </w:rPr>
      </w:pPr>
      <w:r w:rsidRPr="00701169">
        <w:rPr>
          <w:i/>
          <w:sz w:val="20"/>
          <w:vertAlign w:val="superscript"/>
          <w:lang w:val="pt-PT"/>
        </w:rPr>
        <w:t xml:space="preserve"> </w:t>
      </w:r>
      <w:r w:rsidR="002918B0">
        <w:rPr>
          <w:i/>
          <w:sz w:val="20"/>
          <w:vertAlign w:val="superscript"/>
          <w:lang w:val="pt-PT"/>
        </w:rPr>
        <w:t>3</w:t>
      </w:r>
      <w:r w:rsidR="002918B0" w:rsidRPr="00701169">
        <w:rPr>
          <w:i/>
          <w:sz w:val="20"/>
          <w:lang w:val="pt-PT"/>
        </w:rPr>
        <w:t xml:space="preserve"> IPQ </w:t>
      </w:r>
      <w:r w:rsidR="002918B0">
        <w:rPr>
          <w:i/>
          <w:sz w:val="20"/>
          <w:lang w:val="pt-PT"/>
        </w:rPr>
        <w:t>mcferreira@ipq.pt</w:t>
      </w:r>
      <w:r w:rsidR="002918B0" w:rsidRPr="00701169">
        <w:rPr>
          <w:i/>
          <w:sz w:val="20"/>
          <w:lang w:val="pt-PT"/>
        </w:rPr>
        <w:t>,</w:t>
      </w:r>
      <w:r w:rsidR="002918B0">
        <w:rPr>
          <w:i/>
          <w:sz w:val="20"/>
          <w:lang w:val="pt-PT"/>
        </w:rPr>
        <w:t xml:space="preserve"> </w:t>
      </w:r>
      <w:r w:rsidR="002918B0" w:rsidRPr="00701169">
        <w:rPr>
          <w:i/>
          <w:sz w:val="20"/>
          <w:lang w:val="pt-PT"/>
        </w:rPr>
        <w:t>Caparica, P</w:t>
      </w:r>
      <w:r w:rsidR="002918B0">
        <w:rPr>
          <w:i/>
          <w:sz w:val="20"/>
          <w:lang w:val="pt-PT"/>
        </w:rPr>
        <w:t>ortugal</w:t>
      </w:r>
    </w:p>
    <w:p w14:paraId="49FFE4E5" w14:textId="77777777" w:rsidR="002918B0" w:rsidRPr="00701169" w:rsidRDefault="002918B0" w:rsidP="002918B0">
      <w:pPr>
        <w:jc w:val="center"/>
        <w:rPr>
          <w:i/>
          <w:sz w:val="20"/>
          <w:lang w:val="pt-PT"/>
        </w:rPr>
      </w:pPr>
      <w:r>
        <w:rPr>
          <w:i/>
          <w:sz w:val="20"/>
          <w:vertAlign w:val="superscript"/>
          <w:lang w:val="pt-PT"/>
        </w:rPr>
        <w:t>4</w:t>
      </w:r>
      <w:r w:rsidRPr="00701169">
        <w:rPr>
          <w:i/>
          <w:sz w:val="20"/>
          <w:lang w:val="pt-PT"/>
        </w:rPr>
        <w:t xml:space="preserve"> IPQ </w:t>
      </w:r>
      <w:r>
        <w:rPr>
          <w:i/>
          <w:sz w:val="20"/>
          <w:lang w:val="pt-PT"/>
        </w:rPr>
        <w:t>afurtado</w:t>
      </w:r>
      <w:r w:rsidRPr="00701169">
        <w:rPr>
          <w:i/>
          <w:sz w:val="20"/>
          <w:lang w:val="pt-PT"/>
        </w:rPr>
        <w:t>@ipq.</w:t>
      </w:r>
      <w:r>
        <w:rPr>
          <w:i/>
          <w:sz w:val="20"/>
          <w:lang w:val="pt-PT"/>
        </w:rPr>
        <w:t>pt</w:t>
      </w:r>
      <w:r w:rsidRPr="00701169">
        <w:rPr>
          <w:i/>
          <w:sz w:val="20"/>
          <w:lang w:val="pt-PT"/>
        </w:rPr>
        <w:t>,</w:t>
      </w:r>
      <w:r>
        <w:rPr>
          <w:i/>
          <w:sz w:val="20"/>
          <w:lang w:val="pt-PT"/>
        </w:rPr>
        <w:t xml:space="preserve"> </w:t>
      </w:r>
      <w:r w:rsidRPr="00701169">
        <w:rPr>
          <w:i/>
          <w:sz w:val="20"/>
          <w:lang w:val="pt-PT"/>
        </w:rPr>
        <w:t>Caparica, P</w:t>
      </w:r>
      <w:r>
        <w:rPr>
          <w:i/>
          <w:sz w:val="20"/>
          <w:lang w:val="pt-PT"/>
        </w:rPr>
        <w:t>ortugal</w:t>
      </w:r>
    </w:p>
    <w:p w14:paraId="78FD00C0" w14:textId="77777777" w:rsidR="002918B0" w:rsidRPr="002918B0" w:rsidRDefault="002918B0" w:rsidP="002918B0">
      <w:pPr>
        <w:jc w:val="center"/>
        <w:rPr>
          <w:i/>
          <w:sz w:val="20"/>
          <w:lang w:val="en-US"/>
        </w:rPr>
      </w:pPr>
      <w:r>
        <w:rPr>
          <w:i/>
          <w:sz w:val="20"/>
          <w:vertAlign w:val="superscript"/>
          <w:lang w:val="en-US"/>
        </w:rPr>
        <w:t>5</w:t>
      </w:r>
      <w:r w:rsidRPr="00AC121B">
        <w:rPr>
          <w:i/>
          <w:sz w:val="20"/>
          <w:lang w:val="en-US"/>
        </w:rPr>
        <w:t>VSL</w:t>
      </w:r>
      <w:r w:rsidRPr="00AC121B">
        <w:rPr>
          <w:lang w:val="en-US"/>
        </w:rPr>
        <w:t xml:space="preserve">, </w:t>
      </w:r>
      <w:r w:rsidRPr="00AC121B">
        <w:rPr>
          <w:i/>
          <w:sz w:val="20"/>
          <w:lang w:val="en-US"/>
        </w:rPr>
        <w:t>plucas@vsl.</w:t>
      </w:r>
      <w:r>
        <w:rPr>
          <w:i/>
          <w:sz w:val="20"/>
          <w:lang w:val="en-US"/>
        </w:rPr>
        <w:t>nl</w:t>
      </w:r>
      <w:r w:rsidRPr="00AC121B">
        <w:rPr>
          <w:i/>
          <w:sz w:val="20"/>
          <w:lang w:val="en-US"/>
        </w:rPr>
        <w:t xml:space="preserve">, </w:t>
      </w:r>
      <w:r>
        <w:rPr>
          <w:i/>
          <w:sz w:val="20"/>
          <w:lang w:val="en-US"/>
        </w:rPr>
        <w:t>Delft, The Netherlands</w:t>
      </w:r>
    </w:p>
    <w:p w14:paraId="1D12C49B" w14:textId="77777777" w:rsidR="002918B0" w:rsidRPr="002918B0" w:rsidRDefault="002918B0" w:rsidP="003329B2">
      <w:pPr>
        <w:jc w:val="center"/>
        <w:rPr>
          <w:i/>
          <w:sz w:val="20"/>
          <w:lang w:val="en-US"/>
        </w:rPr>
      </w:pPr>
    </w:p>
    <w:p w14:paraId="740D35B6" w14:textId="77777777" w:rsidR="003329B2" w:rsidRPr="002918B0" w:rsidRDefault="003329B2" w:rsidP="003329B2">
      <w:pPr>
        <w:jc w:val="center"/>
        <w:rPr>
          <w:i/>
          <w:sz w:val="20"/>
          <w:lang w:val="en-US"/>
        </w:rPr>
      </w:pPr>
    </w:p>
    <w:p w14:paraId="39D28B4B" w14:textId="77777777" w:rsidR="005F2C46" w:rsidRPr="003329B2" w:rsidRDefault="003329B2" w:rsidP="003329B2">
      <w:pPr>
        <w:jc w:val="center"/>
        <w:rPr>
          <w:i/>
          <w:sz w:val="20"/>
          <w:lang w:val="pt-PT"/>
        </w:rPr>
      </w:pPr>
      <w:r w:rsidRPr="00701169">
        <w:rPr>
          <w:i/>
          <w:sz w:val="20"/>
          <w:lang w:val="pt-PT"/>
        </w:rPr>
        <w:t>E-mail (corresponding author): ebatista@ipq.pt</w:t>
      </w:r>
    </w:p>
    <w:p w14:paraId="5D367F9B" w14:textId="77777777" w:rsidR="005F2C46" w:rsidRDefault="009A4E96">
      <w:r>
        <w:pict w14:anchorId="17B43798">
          <v:rect id="_x0000_i1025" style="width:0;height:1.5pt" o:hralign="center" o:hrstd="t" o:hr="t" fillcolor="gray" stroked="f"/>
        </w:pict>
      </w:r>
    </w:p>
    <w:p w14:paraId="003AB5D4" w14:textId="77777777" w:rsidR="005F2C46" w:rsidRDefault="005F2C46" w:rsidP="00AB51F5">
      <w:pPr>
        <w:pStyle w:val="Cabealho1"/>
      </w:pPr>
      <w:r>
        <w:t>Abstract</w:t>
      </w:r>
    </w:p>
    <w:p w14:paraId="675E4939" w14:textId="77777777" w:rsidR="00AB51F5" w:rsidRPr="00AB51F5" w:rsidRDefault="00AB51F5" w:rsidP="00AB51F5"/>
    <w:p w14:paraId="272C0D4A" w14:textId="5D91B5F3" w:rsidR="002918B0" w:rsidRPr="002918B0" w:rsidRDefault="002918B0" w:rsidP="002918B0">
      <w:pPr>
        <w:jc w:val="both"/>
        <w:rPr>
          <w:sz w:val="20"/>
        </w:rPr>
      </w:pPr>
      <w:r w:rsidRPr="002918B0">
        <w:rPr>
          <w:sz w:val="20"/>
        </w:rPr>
        <w:t>For more than 25 years, multi-infusion has been known to cause severe dosing errors. A great percentage of these errors can be avoided if the users of infusion technology have a better understanding of th</w:t>
      </w:r>
      <w:r w:rsidR="009F1661">
        <w:rPr>
          <w:sz w:val="20"/>
        </w:rPr>
        <w:t>ese</w:t>
      </w:r>
      <w:r w:rsidRPr="002918B0">
        <w:rPr>
          <w:sz w:val="20"/>
        </w:rPr>
        <w:t xml:space="preserve"> equipment</w:t>
      </w:r>
      <w:r w:rsidR="009F1661">
        <w:rPr>
          <w:sz w:val="20"/>
        </w:rPr>
        <w:t>s. T</w:t>
      </w:r>
      <w:r w:rsidRPr="002918B0">
        <w:rPr>
          <w:sz w:val="20"/>
        </w:rPr>
        <w:t>herefore</w:t>
      </w:r>
      <w:r w:rsidR="009F1661">
        <w:rPr>
          <w:sz w:val="20"/>
        </w:rPr>
        <w:t>,</w:t>
      </w:r>
      <w:r w:rsidRPr="002918B0">
        <w:rPr>
          <w:sz w:val="20"/>
        </w:rPr>
        <w:t xml:space="preserve"> it is very important to create awareness and understanding by users of infusion technology. The goal of this EMPIR SIP project </w:t>
      </w:r>
      <w:r w:rsidR="009A4E96">
        <w:rPr>
          <w:sz w:val="20"/>
        </w:rPr>
        <w:t>SIP-HLT07 (15SIP03)</w:t>
      </w:r>
      <w:r w:rsidRPr="002918B0">
        <w:rPr>
          <w:sz w:val="20"/>
        </w:rPr>
        <w:t xml:space="preserve"> </w:t>
      </w:r>
      <w:r w:rsidR="00245D23">
        <w:rPr>
          <w:sz w:val="20"/>
        </w:rPr>
        <w:t xml:space="preserve">– Infusion Uptake, </w:t>
      </w:r>
      <w:r w:rsidRPr="002918B0">
        <w:rPr>
          <w:sz w:val="20"/>
        </w:rPr>
        <w:t xml:space="preserve">is to maximize the uptake of the key outputs of the </w:t>
      </w:r>
      <w:r w:rsidR="00D075D7">
        <w:rPr>
          <w:sz w:val="20"/>
        </w:rPr>
        <w:t xml:space="preserve">previous project </w:t>
      </w:r>
      <w:r w:rsidRPr="002918B0">
        <w:rPr>
          <w:sz w:val="20"/>
        </w:rPr>
        <w:t>JRP MeDD</w:t>
      </w:r>
      <w:r w:rsidR="00245D23">
        <w:rPr>
          <w:sz w:val="20"/>
        </w:rPr>
        <w:t xml:space="preserve"> – Metrology for Drug Delivery</w:t>
      </w:r>
      <w:r w:rsidRPr="002918B0">
        <w:rPr>
          <w:sz w:val="20"/>
        </w:rPr>
        <w:t>.</w:t>
      </w:r>
    </w:p>
    <w:p w14:paraId="6006A23A" w14:textId="65D94898" w:rsidR="002918B0" w:rsidRPr="002918B0" w:rsidRDefault="002918B0" w:rsidP="002918B0">
      <w:pPr>
        <w:jc w:val="both"/>
        <w:rPr>
          <w:sz w:val="20"/>
        </w:rPr>
      </w:pPr>
      <w:r w:rsidRPr="002918B0">
        <w:rPr>
          <w:sz w:val="20"/>
        </w:rPr>
        <w:t xml:space="preserve">One key output of JRP MeDD has been the realization of calibration services for infusion devices. These services followed the design, construction and validation of several calibration facilities. Furthermore, following the show cases of calibration of infusion systems, JRP MeDD has generated a vast experience on how to calibrate infusion devices with the </w:t>
      </w:r>
      <w:r w:rsidR="009F1661">
        <w:rPr>
          <w:sz w:val="20"/>
        </w:rPr>
        <w:t>best</w:t>
      </w:r>
      <w:r w:rsidR="009F1661" w:rsidRPr="002918B0">
        <w:rPr>
          <w:sz w:val="20"/>
        </w:rPr>
        <w:t xml:space="preserve"> </w:t>
      </w:r>
      <w:r w:rsidR="00851EBC" w:rsidRPr="002918B0">
        <w:rPr>
          <w:sz w:val="20"/>
        </w:rPr>
        <w:t xml:space="preserve">possible </w:t>
      </w:r>
      <w:r w:rsidR="009F1661" w:rsidRPr="002918B0">
        <w:rPr>
          <w:sz w:val="20"/>
        </w:rPr>
        <w:t>uncertainty</w:t>
      </w:r>
      <w:r w:rsidRPr="002918B0">
        <w:rPr>
          <w:sz w:val="20"/>
        </w:rPr>
        <w:t>. While this knowledge has been presented at various scientif</w:t>
      </w:r>
      <w:r w:rsidR="00F97F5E">
        <w:rPr>
          <w:sz w:val="20"/>
        </w:rPr>
        <w:t xml:space="preserve">ic conferences and </w:t>
      </w:r>
      <w:r w:rsidR="00D075D7">
        <w:rPr>
          <w:sz w:val="20"/>
        </w:rPr>
        <w:t xml:space="preserve">published many times in </w:t>
      </w:r>
      <w:r w:rsidR="00F97F5E">
        <w:rPr>
          <w:sz w:val="20"/>
        </w:rPr>
        <w:t>magazines</w:t>
      </w:r>
      <w:r w:rsidRPr="002918B0">
        <w:rPr>
          <w:sz w:val="20"/>
        </w:rPr>
        <w:t xml:space="preserve">, it has not yet been formalized via amendments </w:t>
      </w:r>
      <w:r w:rsidR="009F1661">
        <w:rPr>
          <w:sz w:val="20"/>
        </w:rPr>
        <w:t>on the actual</w:t>
      </w:r>
      <w:r w:rsidRPr="002918B0">
        <w:rPr>
          <w:sz w:val="20"/>
        </w:rPr>
        <w:t xml:space="preserve"> standards. The current available standards dealing </w:t>
      </w:r>
      <w:r w:rsidR="00D075D7">
        <w:rPr>
          <w:sz w:val="20"/>
        </w:rPr>
        <w:t>with</w:t>
      </w:r>
      <w:r w:rsidRPr="002918B0">
        <w:rPr>
          <w:sz w:val="20"/>
        </w:rPr>
        <w:t xml:space="preserve"> calibration of infusion devices (and accessories) using the gravimetric method, e.g. ISO 7886-2, IEC 60601-2-24, ISO 28620, IEC 62353, </w:t>
      </w:r>
      <w:r w:rsidR="009F1661">
        <w:rPr>
          <w:sz w:val="20"/>
        </w:rPr>
        <w:t>need</w:t>
      </w:r>
      <w:r w:rsidR="009F1661" w:rsidRPr="002918B0">
        <w:rPr>
          <w:sz w:val="20"/>
        </w:rPr>
        <w:t xml:space="preserve"> </w:t>
      </w:r>
      <w:r w:rsidR="009F1661" w:rsidRPr="009F1661">
        <w:rPr>
          <w:sz w:val="20"/>
        </w:rPr>
        <w:t>meaningful alterations</w:t>
      </w:r>
      <w:r w:rsidRPr="002918B0">
        <w:rPr>
          <w:sz w:val="20"/>
        </w:rPr>
        <w:t>, especially</w:t>
      </w:r>
      <w:r w:rsidR="009F1661">
        <w:rPr>
          <w:sz w:val="20"/>
        </w:rPr>
        <w:t xml:space="preserve"> on the</w:t>
      </w:r>
      <w:r w:rsidRPr="002918B0">
        <w:rPr>
          <w:sz w:val="20"/>
        </w:rPr>
        <w:t xml:space="preserve"> </w:t>
      </w:r>
      <w:r w:rsidR="009F1661">
        <w:rPr>
          <w:sz w:val="20"/>
        </w:rPr>
        <w:t xml:space="preserve">requirements of the </w:t>
      </w:r>
      <w:r w:rsidRPr="002918B0">
        <w:rPr>
          <w:sz w:val="20"/>
        </w:rPr>
        <w:t xml:space="preserve">low flow rate calibrations, as </w:t>
      </w:r>
      <w:r w:rsidR="002945F6">
        <w:rPr>
          <w:sz w:val="20"/>
        </w:rPr>
        <w:t>required by the neonatal care.</w:t>
      </w:r>
    </w:p>
    <w:p w14:paraId="798A7CCF" w14:textId="77777777" w:rsidR="005F2C46" w:rsidRDefault="009A4E96">
      <w:r>
        <w:pict w14:anchorId="77C593AA">
          <v:rect id="_x0000_i1026" style="width:0;height:1.5pt" o:hralign="center" o:hrstd="t" o:hr="t" fillcolor="gray" stroked="f"/>
        </w:pict>
      </w:r>
    </w:p>
    <w:p w14:paraId="7ADD7BA3" w14:textId="77777777" w:rsidR="00EA6110" w:rsidRDefault="00EA6110">
      <w:pPr>
        <w:sectPr w:rsidR="00EA6110" w:rsidSect="00A86C33">
          <w:footerReference w:type="default" r:id="rId13"/>
          <w:pgSz w:w="11906" w:h="16838"/>
          <w:pgMar w:top="1440" w:right="1077" w:bottom="1440" w:left="1077" w:header="720" w:footer="720" w:gutter="0"/>
          <w:cols w:space="720"/>
        </w:sectPr>
      </w:pPr>
    </w:p>
    <w:p w14:paraId="1DDD18F9" w14:textId="77777777" w:rsidR="005F2C46" w:rsidRDefault="005F2C46">
      <w:pPr>
        <w:pStyle w:val="Corpodetexto"/>
      </w:pPr>
    </w:p>
    <w:p w14:paraId="4613CC91" w14:textId="77777777" w:rsidR="005F2C46" w:rsidRDefault="005F2C46">
      <w:pPr>
        <w:pStyle w:val="Cabealho1"/>
      </w:pPr>
      <w:r>
        <w:t>1. Introduction</w:t>
      </w:r>
    </w:p>
    <w:p w14:paraId="009BB4CA" w14:textId="77777777" w:rsidR="005F2C46" w:rsidRDefault="005F2C46">
      <w:pPr>
        <w:pStyle w:val="Corpodetexto"/>
      </w:pPr>
    </w:p>
    <w:p w14:paraId="70736240" w14:textId="29EAF1D2" w:rsidR="00E34C3D" w:rsidRDefault="00040FC7" w:rsidP="00AA55EF">
      <w:pPr>
        <w:pStyle w:val="Corpodetexto"/>
      </w:pPr>
      <w:r>
        <w:t>Infusion instruments</w:t>
      </w:r>
      <w:r w:rsidR="00655AD4">
        <w:t xml:space="preserve"> are widely use</w:t>
      </w:r>
      <w:r w:rsidR="00D075D7">
        <w:t>d</w:t>
      </w:r>
      <w:r w:rsidR="00655AD4">
        <w:t>, given that they</w:t>
      </w:r>
      <w:r>
        <w:t xml:space="preserve"> are fundamental for primary health care, in/</w:t>
      </w:r>
      <w:r w:rsidR="00655AD4">
        <w:t>out hospital providing drug delivery, nutrition and hydration</w:t>
      </w:r>
      <w:r w:rsidR="00245D23">
        <w:t xml:space="preserve"> to patients</w:t>
      </w:r>
      <w:r w:rsidR="00655AD4">
        <w:t>. Hence,</w:t>
      </w:r>
      <w:r w:rsidR="00D075D7">
        <w:t xml:space="preserve"> it</w:t>
      </w:r>
      <w:r w:rsidR="007C55E2">
        <w:t xml:space="preserve"> is crucial that the volume and </w:t>
      </w:r>
      <w:r w:rsidR="00D075D7">
        <w:t xml:space="preserve">flow measured by these devices </w:t>
      </w:r>
      <w:r w:rsidR="007C55E2">
        <w:t>be the most accurate</w:t>
      </w:r>
      <w:r w:rsidR="006B1CC1">
        <w:t xml:space="preserve"> and precise</w:t>
      </w:r>
      <w:r w:rsidR="00D075D7">
        <w:t xml:space="preserve"> possible</w:t>
      </w:r>
      <w:r w:rsidR="007C55E2">
        <w:t xml:space="preserve">. </w:t>
      </w:r>
      <w:r w:rsidR="006B1CC1">
        <w:t>To ensure this, it is necessary to have the appropriate calibration method</w:t>
      </w:r>
      <w:r w:rsidR="004A31B5">
        <w:t>s</w:t>
      </w:r>
      <w:r w:rsidR="006B1CC1">
        <w:t xml:space="preserve">. </w:t>
      </w:r>
    </w:p>
    <w:p w14:paraId="158D2C49" w14:textId="77777777" w:rsidR="009F1661" w:rsidRDefault="009F1661" w:rsidP="00AA55EF">
      <w:pPr>
        <w:pStyle w:val="Corpodetexto"/>
      </w:pPr>
    </w:p>
    <w:p w14:paraId="63E8B546" w14:textId="4DFAD478" w:rsidR="007974D7" w:rsidRDefault="006B1CC1" w:rsidP="00AA55EF">
      <w:pPr>
        <w:pStyle w:val="Corpodetexto"/>
      </w:pPr>
      <w:r>
        <w:t xml:space="preserve">From 2012 </w:t>
      </w:r>
      <w:r w:rsidR="00D075D7">
        <w:t>to</w:t>
      </w:r>
      <w:r>
        <w:t xml:space="preserve"> 2015</w:t>
      </w:r>
      <w:r w:rsidR="00D075D7">
        <w:t>,</w:t>
      </w:r>
      <w:r w:rsidR="00751B8D">
        <w:t xml:space="preserve"> such calibration </w:t>
      </w:r>
      <w:r w:rsidR="004A31B5">
        <w:t>methods</w:t>
      </w:r>
      <w:r w:rsidR="00751B8D">
        <w:t xml:space="preserve"> </w:t>
      </w:r>
      <w:r w:rsidR="00D075D7">
        <w:t>have</w:t>
      </w:r>
      <w:r w:rsidR="004A31B5">
        <w:t xml:space="preserve"> been the main focus</w:t>
      </w:r>
      <w:r w:rsidR="00751B8D">
        <w:t xml:space="preserve"> of</w:t>
      </w:r>
      <w:r>
        <w:t xml:space="preserve"> the project Metrology for Drug Delivery (MeDD)</w:t>
      </w:r>
      <w:r w:rsidR="00751B8D">
        <w:t xml:space="preserve"> [1]</w:t>
      </w:r>
      <w:r>
        <w:t xml:space="preserve"> from the European Metrology Research programme (EMRP)</w:t>
      </w:r>
      <w:r w:rsidR="00751B8D">
        <w:t>.</w:t>
      </w:r>
      <w:r w:rsidR="00E34C3D">
        <w:t xml:space="preserve"> In this </w:t>
      </w:r>
      <w:r w:rsidR="00AD7B4E">
        <w:t>joint research programme (JRP)</w:t>
      </w:r>
      <w:r w:rsidR="00D075D7">
        <w:t>,</w:t>
      </w:r>
      <w:r w:rsidR="00E34C3D">
        <w:t xml:space="preserve"> s</w:t>
      </w:r>
      <w:r w:rsidR="00D075D7">
        <w:t>everal Metrology I</w:t>
      </w:r>
      <w:r w:rsidR="00E34C3D">
        <w:t xml:space="preserve">nstitutes </w:t>
      </w:r>
      <w:r w:rsidR="00AD7B4E" w:rsidRPr="00AD7B4E">
        <w:rPr>
          <w:lang w:val="en-US"/>
        </w:rPr>
        <w:t>(Swiss Federal Institute of Metrology - METAS, Danish Technological Institute - DTI, Centre Technique des Industries Aérauliques et Thermiques, France - CETIAT, Portuguese Institute for Quality - IPQ and Dutch Metrology Institute - VSL) </w:t>
      </w:r>
      <w:r w:rsidR="00E34C3D">
        <w:t>developed the primary s</w:t>
      </w:r>
      <w:r w:rsidR="00E34C3D" w:rsidRPr="007974D7">
        <w:t xml:space="preserve">tandards for liquid </w:t>
      </w:r>
      <w:r w:rsidR="00AD7B4E">
        <w:t>flow rate</w:t>
      </w:r>
      <w:r w:rsidR="00E34C3D" w:rsidRPr="007974D7">
        <w:t xml:space="preserve"> </w:t>
      </w:r>
      <w:r w:rsidR="00E34C3D">
        <w:t>ranging from</w:t>
      </w:r>
      <w:r w:rsidR="00E34C3D" w:rsidRPr="007974D7">
        <w:t xml:space="preserve"> 100</w:t>
      </w:r>
      <w:r w:rsidR="00E34C3D">
        <w:t> </w:t>
      </w:r>
      <w:r w:rsidR="00E34C3D" w:rsidRPr="007974D7">
        <w:t xml:space="preserve">nl/min </w:t>
      </w:r>
      <w:r w:rsidR="00E34C3D">
        <w:t>to</w:t>
      </w:r>
      <w:r w:rsidR="0028688D">
        <w:t xml:space="preserve"> </w:t>
      </w:r>
      <w:r w:rsidR="00E34C3D" w:rsidRPr="007974D7">
        <w:t>1</w:t>
      </w:r>
      <w:r w:rsidR="00E34C3D">
        <w:t>0</w:t>
      </w:r>
      <w:r w:rsidR="00E34C3D" w:rsidRPr="007974D7">
        <w:t xml:space="preserve"> ml/min </w:t>
      </w:r>
      <w:r w:rsidR="00E34C3D">
        <w:t>[2].</w:t>
      </w:r>
      <w:r w:rsidR="00AD7B4E">
        <w:t xml:space="preserve"> </w:t>
      </w:r>
      <w:r w:rsidR="007974D7">
        <w:t xml:space="preserve">The </w:t>
      </w:r>
      <w:r w:rsidR="00A7622D" w:rsidRPr="00262AE5">
        <w:rPr>
          <w:color w:val="000000" w:themeColor="text1"/>
        </w:rPr>
        <w:t xml:space="preserve">primary </w:t>
      </w:r>
      <w:r w:rsidR="007974D7">
        <w:t xml:space="preserve">standards </w:t>
      </w:r>
      <w:r w:rsidR="00BB1D64">
        <w:t xml:space="preserve">for liquid flow rate </w:t>
      </w:r>
      <w:r w:rsidR="007974D7">
        <w:t>were validated by means of a EURAMET comparison</w:t>
      </w:r>
      <w:r w:rsidR="002C68BA">
        <w:t>, project 1291 [3]</w:t>
      </w:r>
      <w:r w:rsidR="007974D7">
        <w:t xml:space="preserve">. </w:t>
      </w:r>
      <w:r w:rsidR="000310F6">
        <w:t>Two</w:t>
      </w:r>
      <w:r w:rsidR="00A7622D" w:rsidRPr="00262AE5">
        <w:rPr>
          <w:color w:val="FF0000"/>
        </w:rPr>
        <w:t xml:space="preserve"> </w:t>
      </w:r>
      <w:r w:rsidR="00A7622D" w:rsidRPr="00262AE5">
        <w:rPr>
          <w:color w:val="000000" w:themeColor="text1"/>
        </w:rPr>
        <w:t xml:space="preserve">secondary </w:t>
      </w:r>
      <w:r w:rsidR="000310F6">
        <w:t xml:space="preserve">standards, a flowmeter and a syringe pump were calibrated </w:t>
      </w:r>
      <w:r w:rsidR="00BB1D64">
        <w:t>for flow rates in an interval</w:t>
      </w:r>
      <w:r w:rsidR="000310F6" w:rsidRPr="000310F6">
        <w:t xml:space="preserve"> </w:t>
      </w:r>
      <w:r w:rsidR="00CB5618">
        <w:t>from</w:t>
      </w:r>
      <w:r w:rsidR="00BB1D64">
        <w:t xml:space="preserve"> </w:t>
      </w:r>
      <w:r w:rsidR="0028688D">
        <w:lastRenderedPageBreak/>
        <w:t>33.</w:t>
      </w:r>
      <w:r w:rsidR="00BB1D64">
        <w:t>3</w:t>
      </w:r>
      <w:r w:rsidR="009F1661">
        <w:t> </w:t>
      </w:r>
      <w:r w:rsidR="00BB1D64" w:rsidRPr="000310F6">
        <w:rPr>
          <w:rFonts w:ascii="Symbol" w:hAnsi="Symbol"/>
        </w:rPr>
        <w:t></w:t>
      </w:r>
      <w:r w:rsidR="00BB1D64" w:rsidRPr="007974D7">
        <w:t>l/min</w:t>
      </w:r>
      <w:r w:rsidR="00BB1D64">
        <w:t xml:space="preserve"> to</w:t>
      </w:r>
      <w:r w:rsidR="00CB5618">
        <w:t xml:space="preserve"> 10</w:t>
      </w:r>
      <w:r w:rsidR="009F1661">
        <w:t> </w:t>
      </w:r>
      <w:r w:rsidR="00CB5618">
        <w:t>ml/min</w:t>
      </w:r>
      <w:r w:rsidR="00BB1D64">
        <w:t>.</w:t>
      </w:r>
      <w:r w:rsidR="00CB5618">
        <w:t xml:space="preserve"> </w:t>
      </w:r>
      <w:r w:rsidR="00245D23">
        <w:t>The results obtained by the participant laboratories</w:t>
      </w:r>
      <w:r w:rsidR="00BB1D64">
        <w:t xml:space="preserve"> </w:t>
      </w:r>
      <w:r w:rsidR="000310F6">
        <w:t>were</w:t>
      </w:r>
      <w:r w:rsidR="007974D7" w:rsidRPr="007974D7">
        <w:t xml:space="preserve"> in </w:t>
      </w:r>
      <w:r w:rsidR="00245D23">
        <w:t>agreement with the determined reference value</w:t>
      </w:r>
      <w:r w:rsidR="007974D7" w:rsidRPr="007974D7">
        <w:t xml:space="preserve">. </w:t>
      </w:r>
    </w:p>
    <w:p w14:paraId="717F2694" w14:textId="77777777" w:rsidR="000310F6" w:rsidRDefault="000310F6" w:rsidP="00AA55EF">
      <w:pPr>
        <w:pStyle w:val="Corpodetexto"/>
      </w:pPr>
    </w:p>
    <w:p w14:paraId="35F7E80A" w14:textId="631A9041" w:rsidR="00E163AB" w:rsidRDefault="00D075D7" w:rsidP="00AA55EF">
      <w:pPr>
        <w:pStyle w:val="Corpodetexto"/>
      </w:pPr>
      <w:r>
        <w:t>T</w:t>
      </w:r>
      <w:r w:rsidR="000310F6">
        <w:t xml:space="preserve">he </w:t>
      </w:r>
      <w:r w:rsidR="00E163AB">
        <w:t xml:space="preserve">metrological </w:t>
      </w:r>
      <w:r w:rsidR="000310F6">
        <w:t>characterization of several drug delivery devices</w:t>
      </w:r>
      <w:r w:rsidR="00E163AB">
        <w:t xml:space="preserve"> particularly,</w:t>
      </w:r>
      <w:r w:rsidR="000310F6">
        <w:t xml:space="preserve"> syringe pumps an</w:t>
      </w:r>
      <w:r w:rsidR="00E163AB">
        <w:t>d</w:t>
      </w:r>
      <w:r w:rsidR="000310F6">
        <w:t xml:space="preserve"> peristaltic</w:t>
      </w:r>
      <w:r w:rsidR="002548BB">
        <w:t xml:space="preserve"> pumps</w:t>
      </w:r>
      <w:r>
        <w:t xml:space="preserve"> was</w:t>
      </w:r>
      <w:r w:rsidR="000310F6">
        <w:t xml:space="preserve"> </w:t>
      </w:r>
      <w:r>
        <w:t>included in the MeDD project scope.</w:t>
      </w:r>
    </w:p>
    <w:p w14:paraId="028D8D3F" w14:textId="0A391631" w:rsidR="00E163AB" w:rsidRDefault="00E163AB" w:rsidP="003053C2">
      <w:pPr>
        <w:pStyle w:val="Corpodetexto"/>
      </w:pPr>
      <w:r>
        <w:t xml:space="preserve">Assays for flow rate, start up delay, compliance, temperature, pressure and viscosity like in </w:t>
      </w:r>
      <w:r w:rsidR="00EF5AB5">
        <w:t>[</w:t>
      </w:r>
      <w:r>
        <w:t>4]</w:t>
      </w:r>
      <w:r w:rsidR="00EF5AB5">
        <w:t xml:space="preserve"> were performed to determine the measurement accuracy of the drug delivery devices.</w:t>
      </w:r>
    </w:p>
    <w:p w14:paraId="0B70538D" w14:textId="77777777" w:rsidR="00E163AB" w:rsidRDefault="00E163AB" w:rsidP="00AA55EF">
      <w:pPr>
        <w:pStyle w:val="Corpodetexto"/>
      </w:pPr>
    </w:p>
    <w:p w14:paraId="6F41FB66" w14:textId="745089E3" w:rsidR="00EF5AB5" w:rsidRDefault="00EF5AB5" w:rsidP="00AA55EF">
      <w:pPr>
        <w:pStyle w:val="Corpodetexto"/>
      </w:pPr>
      <w:r>
        <w:t>The outcomes of this project were discussed in international conferences and presented in</w:t>
      </w:r>
      <w:r w:rsidR="00245D23">
        <w:t xml:space="preserve"> scientific papers, </w:t>
      </w:r>
      <w:r>
        <w:t>reports and best practice guides</w:t>
      </w:r>
      <w:r w:rsidR="00245D23">
        <w:t xml:space="preserve"> that can be found in www.drugmetrology.com</w:t>
      </w:r>
      <w:r>
        <w:t>. Nonetheless, this data was never formalized in the way of amendm</w:t>
      </w:r>
      <w:r w:rsidR="00245D23">
        <w:t>ents of the relevant standards, specifically</w:t>
      </w:r>
      <w:r>
        <w:t xml:space="preserve"> ISO 7886-2 [5], IEC 60601-2-24 [6] and</w:t>
      </w:r>
      <w:r w:rsidRPr="002918B0">
        <w:t xml:space="preserve"> ISO 28620</w:t>
      </w:r>
      <w:r w:rsidR="00245D23">
        <w:t xml:space="preserve"> [7]</w:t>
      </w:r>
    </w:p>
    <w:p w14:paraId="51566B36" w14:textId="0D1CF46B" w:rsidR="00DB7AA3" w:rsidRDefault="008C22BB" w:rsidP="003053C2">
      <w:pPr>
        <w:pStyle w:val="Corpodetexto"/>
      </w:pPr>
      <w:r>
        <w:t>To further communicate the knowledge obtained from MeDD JRP</w:t>
      </w:r>
      <w:r w:rsidR="00D075D7">
        <w:t>,</w:t>
      </w:r>
      <w:r>
        <w:t xml:space="preserve"> a new project (Support for Impact Project (SIP) 15SIP03 – Infusion Uptake) started in May of 2016. This project is in frame with the </w:t>
      </w:r>
      <w:r w:rsidRPr="007974D7">
        <w:t xml:space="preserve">European Metrology </w:t>
      </w:r>
      <w:r>
        <w:t xml:space="preserve">of Innovation and </w:t>
      </w:r>
      <w:r w:rsidRPr="007974D7">
        <w:t>Research Programme</w:t>
      </w:r>
      <w:r>
        <w:t xml:space="preserve"> (EMPIR). </w:t>
      </w:r>
      <w:r w:rsidR="000310F6">
        <w:t>Th</w:t>
      </w:r>
      <w:r>
        <w:t>e</w:t>
      </w:r>
      <w:r w:rsidR="000310F6">
        <w:t xml:space="preserve"> </w:t>
      </w:r>
      <w:r>
        <w:t xml:space="preserve">15SIP03 JRP </w:t>
      </w:r>
      <w:r w:rsidR="00CB5618">
        <w:t>has two main goals</w:t>
      </w:r>
      <w:r>
        <w:t>:</w:t>
      </w:r>
      <w:r w:rsidR="00993244">
        <w:t xml:space="preserve"> </w:t>
      </w:r>
    </w:p>
    <w:p w14:paraId="7B5BC836" w14:textId="77777777" w:rsidR="005E225E" w:rsidRDefault="005E225E" w:rsidP="00DB7AA3">
      <w:pPr>
        <w:pStyle w:val="Corpodetexto"/>
      </w:pPr>
    </w:p>
    <w:p w14:paraId="0B1CB868" w14:textId="54494401" w:rsidR="00DB7AA3" w:rsidRDefault="00A666F4" w:rsidP="00DB7AA3">
      <w:pPr>
        <w:pStyle w:val="Corpodetexto"/>
        <w:numPr>
          <w:ilvl w:val="0"/>
          <w:numId w:val="12"/>
        </w:numPr>
      </w:pPr>
      <w:r>
        <w:lastRenderedPageBreak/>
        <w:t xml:space="preserve">To develop an </w:t>
      </w:r>
      <w:r w:rsidR="00DB7AA3">
        <w:t>E-learning module made available on the E-learning platform of the ESICM (European Society for Intensive Care Medicine)</w:t>
      </w:r>
      <w:r>
        <w:t>, with the aim</w:t>
      </w:r>
      <w:r w:rsidR="00DB7AA3">
        <w:t xml:space="preserve"> to create awareness and understanding of multi infusion risks and thereby reducing dosing errors, thus decreasing adverse patient incidents and increasing the quality of medical treatment.</w:t>
      </w:r>
    </w:p>
    <w:p w14:paraId="67DB19C3" w14:textId="77777777" w:rsidR="00DB7AA3" w:rsidRDefault="00DB7AA3" w:rsidP="00DB7AA3">
      <w:pPr>
        <w:pStyle w:val="Corpodetexto"/>
        <w:numPr>
          <w:ilvl w:val="0"/>
          <w:numId w:val="12"/>
        </w:numPr>
      </w:pPr>
      <w:r>
        <w:t>To incorporate the best metrology practices relating calibration of infusion devices in ISO standards ISO 7886-2 and IEC 60601-2-24.</w:t>
      </w:r>
    </w:p>
    <w:p w14:paraId="5B783F94" w14:textId="77777777" w:rsidR="000310F6" w:rsidRDefault="000310F6" w:rsidP="00AA55EF">
      <w:pPr>
        <w:pStyle w:val="Corpodetexto"/>
      </w:pPr>
    </w:p>
    <w:p w14:paraId="2F2C06A1" w14:textId="77777777" w:rsidR="000310F6" w:rsidRPr="00EC46CC" w:rsidRDefault="00CB5618" w:rsidP="00DB7AA3">
      <w:pPr>
        <w:pStyle w:val="Corpodetexto"/>
        <w:rPr>
          <w:b/>
        </w:rPr>
      </w:pPr>
      <w:r w:rsidRPr="00EC46CC">
        <w:rPr>
          <w:b/>
        </w:rPr>
        <w:t>2. Calibration method</w:t>
      </w:r>
    </w:p>
    <w:p w14:paraId="47071D9D" w14:textId="77777777" w:rsidR="007974D7" w:rsidRDefault="007974D7" w:rsidP="00AA55EF">
      <w:pPr>
        <w:pStyle w:val="Corpodetexto"/>
      </w:pPr>
    </w:p>
    <w:p w14:paraId="7707E2AE" w14:textId="77777777" w:rsidR="002548BB" w:rsidRDefault="002548BB" w:rsidP="00AA55EF">
      <w:pPr>
        <w:jc w:val="both"/>
        <w:rPr>
          <w:sz w:val="20"/>
        </w:rPr>
      </w:pPr>
      <w:r>
        <w:rPr>
          <w:sz w:val="20"/>
        </w:rPr>
        <w:t>The primary method for flow determination in the calibration of syringe pumps is the gravimetric method.</w:t>
      </w:r>
    </w:p>
    <w:p w14:paraId="04901477" w14:textId="136CD73D" w:rsidR="00055591" w:rsidRDefault="00CB5618" w:rsidP="00262AE5">
      <w:pPr>
        <w:jc w:val="both"/>
        <w:rPr>
          <w:sz w:val="20"/>
        </w:rPr>
      </w:pPr>
      <w:r w:rsidRPr="00CB5618">
        <w:rPr>
          <w:sz w:val="20"/>
        </w:rPr>
        <w:t>Th</w:t>
      </w:r>
      <w:r w:rsidR="008D6E77">
        <w:rPr>
          <w:sz w:val="20"/>
        </w:rPr>
        <w:t>is method</w:t>
      </w:r>
      <w:r w:rsidRPr="00CB5618">
        <w:rPr>
          <w:sz w:val="20"/>
        </w:rPr>
        <w:t xml:space="preserve"> is based on </w:t>
      </w:r>
      <w:r w:rsidR="00A666F4">
        <w:rPr>
          <w:sz w:val="20"/>
        </w:rPr>
        <w:t xml:space="preserve">the </w:t>
      </w:r>
      <w:r w:rsidRPr="00CB5618">
        <w:rPr>
          <w:sz w:val="20"/>
        </w:rPr>
        <w:t xml:space="preserve">mass </w:t>
      </w:r>
      <w:r w:rsidR="00A666F4">
        <w:rPr>
          <w:sz w:val="20"/>
        </w:rPr>
        <w:t xml:space="preserve">measurement </w:t>
      </w:r>
      <w:r w:rsidRPr="00CB5618">
        <w:rPr>
          <w:sz w:val="20"/>
        </w:rPr>
        <w:t xml:space="preserve">of </w:t>
      </w:r>
      <w:r w:rsidR="00ED26DE">
        <w:rPr>
          <w:sz w:val="20"/>
        </w:rPr>
        <w:t xml:space="preserve">the </w:t>
      </w:r>
      <w:r w:rsidR="004B08D5">
        <w:rPr>
          <w:sz w:val="20"/>
        </w:rPr>
        <w:t>calibration</w:t>
      </w:r>
      <w:r w:rsidR="00ED26DE">
        <w:rPr>
          <w:sz w:val="20"/>
        </w:rPr>
        <w:t xml:space="preserve"> </w:t>
      </w:r>
      <w:r w:rsidRPr="00CB5618">
        <w:rPr>
          <w:sz w:val="20"/>
        </w:rPr>
        <w:t xml:space="preserve">liquid as a function of time on a </w:t>
      </w:r>
      <w:r w:rsidR="00007B19">
        <w:rPr>
          <w:sz w:val="20"/>
        </w:rPr>
        <w:t>balance</w:t>
      </w:r>
      <w:r w:rsidRPr="00CB5618">
        <w:rPr>
          <w:sz w:val="20"/>
        </w:rPr>
        <w:t>. The flow rate is in general determined by the quotient of the mass difference</w:t>
      </w:r>
      <w:r w:rsidR="00007B19">
        <w:rPr>
          <w:sz w:val="20"/>
        </w:rPr>
        <w:t xml:space="preserve"> (initial and final)</w:t>
      </w:r>
      <w:r w:rsidRPr="00CB5618">
        <w:rPr>
          <w:sz w:val="20"/>
        </w:rPr>
        <w:t xml:space="preserve"> and time</w:t>
      </w:r>
      <w:r w:rsidR="00007B19">
        <w:rPr>
          <w:sz w:val="20"/>
        </w:rPr>
        <w:t xml:space="preserve"> interval</w:t>
      </w:r>
      <w:r w:rsidRPr="00CB5618">
        <w:rPr>
          <w:sz w:val="20"/>
        </w:rPr>
        <w:t xml:space="preserve"> including some corrections</w:t>
      </w:r>
      <w:r w:rsidR="00007B19">
        <w:rPr>
          <w:sz w:val="20"/>
        </w:rPr>
        <w:t xml:space="preserve"> </w:t>
      </w:r>
      <w:r w:rsidR="00D075D7">
        <w:rPr>
          <w:sz w:val="20"/>
        </w:rPr>
        <w:t>following equation 1</w:t>
      </w:r>
      <w:r w:rsidRPr="00CB5618">
        <w:rPr>
          <w:sz w:val="20"/>
        </w:rPr>
        <w:t>.</w:t>
      </w:r>
    </w:p>
    <w:p w14:paraId="091F6EEF" w14:textId="049B9482" w:rsidR="001C780C" w:rsidRDefault="001C780C" w:rsidP="00CB5618">
      <w:pPr>
        <w:spacing w:before="240" w:after="240"/>
        <w:jc w:val="both"/>
        <w:rPr>
          <w:sz w:val="20"/>
        </w:rPr>
      </w:pPr>
      <w:r>
        <w:rPr>
          <w:sz w:val="20"/>
        </w:rPr>
        <w:t xml:space="preserve">The calibration setup used </w:t>
      </w:r>
      <w:r w:rsidR="00ED26DE">
        <w:rPr>
          <w:sz w:val="20"/>
        </w:rPr>
        <w:t>during</w:t>
      </w:r>
      <w:r>
        <w:rPr>
          <w:sz w:val="20"/>
        </w:rPr>
        <w:t xml:space="preserve"> MeDD</w:t>
      </w:r>
      <w:r w:rsidR="00146D67">
        <w:rPr>
          <w:sz w:val="20"/>
        </w:rPr>
        <w:t xml:space="preserve"> </w:t>
      </w:r>
      <w:r w:rsidR="00ED26DE">
        <w:rPr>
          <w:sz w:val="20"/>
        </w:rPr>
        <w:t xml:space="preserve">JRP </w:t>
      </w:r>
      <w:r>
        <w:rPr>
          <w:sz w:val="20"/>
        </w:rPr>
        <w:t xml:space="preserve">consists of a </w:t>
      </w:r>
      <w:r w:rsidRPr="00CB5618">
        <w:rPr>
          <w:sz w:val="20"/>
        </w:rPr>
        <w:t>flow generat</w:t>
      </w:r>
      <w:r>
        <w:rPr>
          <w:sz w:val="20"/>
        </w:rPr>
        <w:t>or</w:t>
      </w:r>
      <w:r w:rsidR="00D075D7">
        <w:rPr>
          <w:sz w:val="20"/>
        </w:rPr>
        <w:t xml:space="preserve">, </w:t>
      </w:r>
      <w:r w:rsidRPr="00CB5618">
        <w:rPr>
          <w:sz w:val="20"/>
        </w:rPr>
        <w:t>connect</w:t>
      </w:r>
      <w:r>
        <w:rPr>
          <w:sz w:val="20"/>
        </w:rPr>
        <w:t>ed</w:t>
      </w:r>
      <w:r w:rsidRPr="00CB5618">
        <w:rPr>
          <w:sz w:val="20"/>
        </w:rPr>
        <w:t xml:space="preserve"> to a device under test</w:t>
      </w:r>
      <w:r>
        <w:rPr>
          <w:sz w:val="20"/>
        </w:rPr>
        <w:t xml:space="preserve"> (DUT) upstream of a c</w:t>
      </w:r>
      <w:r w:rsidR="00A666F4">
        <w:rPr>
          <w:sz w:val="20"/>
        </w:rPr>
        <w:t xml:space="preserve">ollecting vessels standing on </w:t>
      </w:r>
      <w:r w:rsidRPr="00CB5618">
        <w:rPr>
          <w:sz w:val="20"/>
        </w:rPr>
        <w:t>an analytical balance</w:t>
      </w:r>
      <w:r w:rsidR="00146D67">
        <w:rPr>
          <w:sz w:val="20"/>
        </w:rPr>
        <w:t xml:space="preserve"> (Figure 1)</w:t>
      </w:r>
      <w:r w:rsidRPr="00CB5618">
        <w:rPr>
          <w:sz w:val="20"/>
        </w:rPr>
        <w:t>.</w:t>
      </w:r>
      <w:r>
        <w:rPr>
          <w:sz w:val="20"/>
        </w:rPr>
        <w:t xml:space="preserve"> This balance measures the </w:t>
      </w:r>
      <w:r w:rsidRPr="00CB5618">
        <w:rPr>
          <w:sz w:val="20"/>
        </w:rPr>
        <w:t>mass, which</w:t>
      </w:r>
      <w:r>
        <w:rPr>
          <w:sz w:val="20"/>
        </w:rPr>
        <w:t xml:space="preserve"> is precisely timed to calculate the </w:t>
      </w:r>
      <w:r w:rsidRPr="00E71401">
        <w:rPr>
          <w:i/>
          <w:sz w:val="20"/>
        </w:rPr>
        <w:sym w:font="Symbol" w:char="F044"/>
      </w:r>
      <w:r w:rsidRPr="00E71401">
        <w:rPr>
          <w:i/>
          <w:sz w:val="20"/>
        </w:rPr>
        <w:t>m/</w:t>
      </w:r>
      <w:r w:rsidRPr="00E71401">
        <w:rPr>
          <w:i/>
          <w:sz w:val="20"/>
        </w:rPr>
        <w:sym w:font="Symbol" w:char="F044"/>
      </w:r>
      <w:r w:rsidRPr="00E71401">
        <w:rPr>
          <w:i/>
          <w:sz w:val="20"/>
        </w:rPr>
        <w:t>t</w:t>
      </w:r>
      <w:r w:rsidRPr="00CB5618">
        <w:rPr>
          <w:sz w:val="20"/>
        </w:rPr>
        <w:t xml:space="preserve"> quotient</w:t>
      </w:r>
      <w:r>
        <w:rPr>
          <w:sz w:val="20"/>
        </w:rPr>
        <w:t xml:space="preserve"> [1]</w:t>
      </w:r>
      <w:r w:rsidRPr="00CB5618">
        <w:rPr>
          <w:sz w:val="20"/>
        </w:rPr>
        <w:t xml:space="preserve">. </w:t>
      </w:r>
    </w:p>
    <w:p w14:paraId="20787F08" w14:textId="77777777" w:rsidR="00CB5618" w:rsidRDefault="00CB5618" w:rsidP="00CB5618">
      <w:pPr>
        <w:keepNext/>
        <w:jc w:val="center"/>
      </w:pPr>
      <w:r>
        <w:rPr>
          <w:noProof/>
          <w:lang w:val="pt-PT" w:eastAsia="pt-PT"/>
        </w:rPr>
        <w:drawing>
          <wp:inline distT="0" distB="0" distL="0" distR="0" wp14:anchorId="71BECB9A" wp14:editId="3F95D3E6">
            <wp:extent cx="2295525" cy="100965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301026" cy="1012070"/>
                    </a:xfrm>
                    <a:prstGeom prst="rect">
                      <a:avLst/>
                    </a:prstGeom>
                  </pic:spPr>
                </pic:pic>
              </a:graphicData>
            </a:graphic>
          </wp:inline>
        </w:drawing>
      </w:r>
    </w:p>
    <w:p w14:paraId="49AE29FA" w14:textId="75CBAA30" w:rsidR="00CB5618" w:rsidRPr="00ED26DE" w:rsidRDefault="002C20B2" w:rsidP="00CB5618">
      <w:pPr>
        <w:pStyle w:val="Cabealho1"/>
        <w:rPr>
          <w:b w:val="0"/>
          <w:sz w:val="16"/>
        </w:rPr>
      </w:pPr>
      <w:r w:rsidRPr="00ED26DE">
        <w:rPr>
          <w:sz w:val="16"/>
        </w:rPr>
        <w:t>Figure 1:</w:t>
      </w:r>
      <w:r w:rsidRPr="00ED26DE">
        <w:t xml:space="preserve"> </w:t>
      </w:r>
      <w:r w:rsidR="00A7622D" w:rsidRPr="00262AE5">
        <w:rPr>
          <w:b w:val="0"/>
          <w:sz w:val="16"/>
        </w:rPr>
        <w:t xml:space="preserve">Schematic of the </w:t>
      </w:r>
      <w:r w:rsidR="00EC46CC">
        <w:rPr>
          <w:b w:val="0"/>
          <w:sz w:val="16"/>
        </w:rPr>
        <w:t xml:space="preserve">primary </w:t>
      </w:r>
      <w:r w:rsidR="00A7622D" w:rsidRPr="00262AE5">
        <w:rPr>
          <w:b w:val="0"/>
          <w:sz w:val="16"/>
        </w:rPr>
        <w:t>flow calibration setup used in MeDD project</w:t>
      </w:r>
      <w:r w:rsidR="00ED26DE">
        <w:rPr>
          <w:b w:val="0"/>
          <w:sz w:val="16"/>
        </w:rPr>
        <w:t xml:space="preserve">. </w:t>
      </w:r>
    </w:p>
    <w:p w14:paraId="398D2E04" w14:textId="77777777" w:rsidR="00CB5618" w:rsidRDefault="00CB5618" w:rsidP="00AA55EF">
      <w:pPr>
        <w:jc w:val="both"/>
        <w:rPr>
          <w:sz w:val="20"/>
        </w:rPr>
      </w:pPr>
    </w:p>
    <w:p w14:paraId="782B3341" w14:textId="4324DFC9" w:rsidR="004D1A84" w:rsidRDefault="008F1983" w:rsidP="00F97F5E">
      <w:pPr>
        <w:pStyle w:val="Cabealho1"/>
      </w:pPr>
      <w:r>
        <w:t xml:space="preserve">3. </w:t>
      </w:r>
      <w:r w:rsidR="00FC6E9D" w:rsidRPr="00FC6E9D">
        <w:t>Calibration of</w:t>
      </w:r>
      <w:r w:rsidR="00EC46CC">
        <w:t xml:space="preserve"> </w:t>
      </w:r>
      <w:r w:rsidR="00FC6E9D" w:rsidRPr="00FC6E9D">
        <w:t>syringe pumps</w:t>
      </w:r>
    </w:p>
    <w:p w14:paraId="2C5A42B8" w14:textId="77777777" w:rsidR="00F97F5E" w:rsidRPr="00F97F5E" w:rsidRDefault="00F97F5E" w:rsidP="00F97F5E"/>
    <w:p w14:paraId="1DBE5B4C" w14:textId="77777777" w:rsidR="00FC6E9D" w:rsidRPr="00FC6E9D" w:rsidRDefault="00FC6E9D" w:rsidP="004D1A84">
      <w:pPr>
        <w:jc w:val="both"/>
        <w:rPr>
          <w:i/>
          <w:sz w:val="20"/>
        </w:rPr>
      </w:pPr>
      <w:r w:rsidRPr="00FC6E9D">
        <w:rPr>
          <w:i/>
          <w:sz w:val="20"/>
        </w:rPr>
        <w:t>3.1 Calibration setup</w:t>
      </w:r>
    </w:p>
    <w:p w14:paraId="2AC12CE8" w14:textId="4A25B709" w:rsidR="003642D6" w:rsidRDefault="00FC6E9D" w:rsidP="004D1A84">
      <w:pPr>
        <w:jc w:val="both"/>
        <w:rPr>
          <w:sz w:val="20"/>
        </w:rPr>
      </w:pPr>
      <w:r>
        <w:rPr>
          <w:sz w:val="20"/>
        </w:rPr>
        <w:t>The calibration of syringe pumps</w:t>
      </w:r>
      <w:r w:rsidR="00E71401">
        <w:rPr>
          <w:sz w:val="20"/>
        </w:rPr>
        <w:t xml:space="preserve"> is performed </w:t>
      </w:r>
      <w:r>
        <w:rPr>
          <w:sz w:val="20"/>
        </w:rPr>
        <w:t xml:space="preserve">at IPQ, by the gravimetric method in a </w:t>
      </w:r>
      <w:r w:rsidR="00EC46CC">
        <w:rPr>
          <w:sz w:val="20"/>
        </w:rPr>
        <w:t>flow interval</w:t>
      </w:r>
      <w:r w:rsidR="00EC46CC" w:rsidRPr="00CC101B">
        <w:rPr>
          <w:sz w:val="20"/>
        </w:rPr>
        <w:t xml:space="preserve"> </w:t>
      </w:r>
      <w:r w:rsidR="00EC46CC">
        <w:rPr>
          <w:sz w:val="20"/>
        </w:rPr>
        <w:t xml:space="preserve">from </w:t>
      </w:r>
      <w:r w:rsidR="00CC101B" w:rsidRPr="00CC101B">
        <w:rPr>
          <w:sz w:val="20"/>
        </w:rPr>
        <w:t>600</w:t>
      </w:r>
      <w:r w:rsidR="009F1661">
        <w:rPr>
          <w:sz w:val="20"/>
        </w:rPr>
        <w:t> </w:t>
      </w:r>
      <w:r w:rsidR="00CC101B" w:rsidRPr="00CC101B">
        <w:rPr>
          <w:sz w:val="20"/>
        </w:rPr>
        <w:t>ml/h (10 ml/min) to 3</w:t>
      </w:r>
      <w:r w:rsidR="009F1661">
        <w:rPr>
          <w:sz w:val="20"/>
        </w:rPr>
        <w:t> </w:t>
      </w:r>
      <w:r w:rsidR="00CC101B" w:rsidRPr="00CC101B">
        <w:rPr>
          <w:rFonts w:ascii="Symbol" w:hAnsi="Symbol"/>
          <w:sz w:val="20"/>
        </w:rPr>
        <w:t></w:t>
      </w:r>
      <w:r w:rsidR="00CC101B" w:rsidRPr="00CC101B">
        <w:rPr>
          <w:sz w:val="20"/>
        </w:rPr>
        <w:t>l/h (50</w:t>
      </w:r>
      <w:r w:rsidR="009F1661">
        <w:rPr>
          <w:sz w:val="20"/>
        </w:rPr>
        <w:t> </w:t>
      </w:r>
      <w:r w:rsidR="00CC101B" w:rsidRPr="00CC101B">
        <w:rPr>
          <w:sz w:val="20"/>
        </w:rPr>
        <w:t>nl/min)</w:t>
      </w:r>
      <w:r w:rsidR="001D6E23">
        <w:rPr>
          <w:sz w:val="20"/>
        </w:rPr>
        <w:t xml:space="preserve"> </w:t>
      </w:r>
      <w:r w:rsidR="00CC101B" w:rsidRPr="00CC101B">
        <w:rPr>
          <w:sz w:val="20"/>
        </w:rPr>
        <w:t>with</w:t>
      </w:r>
      <w:r w:rsidR="001D6E23">
        <w:rPr>
          <w:sz w:val="20"/>
        </w:rPr>
        <w:t xml:space="preserve"> a</w:t>
      </w:r>
      <w:r w:rsidR="00CC101B" w:rsidRPr="00CC101B">
        <w:rPr>
          <w:sz w:val="20"/>
        </w:rPr>
        <w:t xml:space="preserve"> </w:t>
      </w:r>
      <w:r w:rsidR="001D6E23">
        <w:rPr>
          <w:sz w:val="20"/>
        </w:rPr>
        <w:t>0</w:t>
      </w:r>
      <w:r w:rsidR="0028688D">
        <w:rPr>
          <w:sz w:val="20"/>
        </w:rPr>
        <w:t>.</w:t>
      </w:r>
      <w:r w:rsidR="001D6E23">
        <w:rPr>
          <w:sz w:val="20"/>
        </w:rPr>
        <w:t>15</w:t>
      </w:r>
      <w:r w:rsidR="009F1661">
        <w:rPr>
          <w:sz w:val="20"/>
        </w:rPr>
        <w:t> </w:t>
      </w:r>
      <w:r w:rsidR="001D6E23">
        <w:rPr>
          <w:sz w:val="20"/>
        </w:rPr>
        <w:t>% to 6</w:t>
      </w:r>
      <w:r w:rsidR="009F1661">
        <w:rPr>
          <w:sz w:val="20"/>
        </w:rPr>
        <w:t> </w:t>
      </w:r>
      <w:r w:rsidR="001D6E23">
        <w:rPr>
          <w:sz w:val="20"/>
        </w:rPr>
        <w:t xml:space="preserve">% relative expanded </w:t>
      </w:r>
      <w:r w:rsidR="00CC101B" w:rsidRPr="00CC101B">
        <w:rPr>
          <w:sz w:val="20"/>
        </w:rPr>
        <w:t>u</w:t>
      </w:r>
      <w:r w:rsidR="00CC101B">
        <w:rPr>
          <w:sz w:val="20"/>
        </w:rPr>
        <w:t>ncertaint</w:t>
      </w:r>
      <w:r w:rsidR="001D6E23">
        <w:rPr>
          <w:sz w:val="20"/>
        </w:rPr>
        <w:t>y.</w:t>
      </w:r>
    </w:p>
    <w:p w14:paraId="4FE47FE5" w14:textId="77777777" w:rsidR="00CC101B" w:rsidRDefault="00CC101B" w:rsidP="004D1A84">
      <w:pPr>
        <w:jc w:val="both"/>
        <w:rPr>
          <w:sz w:val="20"/>
        </w:rPr>
      </w:pPr>
    </w:p>
    <w:p w14:paraId="0C0B5633" w14:textId="697944C8" w:rsidR="001D6E23" w:rsidRPr="003642D6" w:rsidRDefault="00CC101B" w:rsidP="004D1A84">
      <w:pPr>
        <w:jc w:val="both"/>
        <w:rPr>
          <w:sz w:val="20"/>
        </w:rPr>
      </w:pPr>
      <w:r>
        <w:rPr>
          <w:sz w:val="20"/>
        </w:rPr>
        <w:t>T</w:t>
      </w:r>
      <w:r w:rsidR="008F1983" w:rsidRPr="004D1A84">
        <w:rPr>
          <w:sz w:val="20"/>
        </w:rPr>
        <w:t xml:space="preserve">wo different balances </w:t>
      </w:r>
      <w:r w:rsidR="001D6E23">
        <w:rPr>
          <w:sz w:val="20"/>
        </w:rPr>
        <w:t xml:space="preserve">were </w:t>
      </w:r>
      <w:r>
        <w:rPr>
          <w:sz w:val="20"/>
        </w:rPr>
        <w:t>used</w:t>
      </w:r>
      <w:r w:rsidR="001D6E23">
        <w:rPr>
          <w:sz w:val="20"/>
        </w:rPr>
        <w:t xml:space="preserve"> </w:t>
      </w:r>
      <w:r w:rsidR="00262AE5" w:rsidRPr="008B1BEB">
        <w:rPr>
          <w:sz w:val="20"/>
        </w:rPr>
        <w:t>AX26 and XP205</w:t>
      </w:r>
      <w:r w:rsidR="00A7622D" w:rsidRPr="008B1BEB">
        <w:rPr>
          <w:sz w:val="20"/>
        </w:rPr>
        <w:t xml:space="preserve"> </w:t>
      </w:r>
      <w:r w:rsidR="008F1983" w:rsidRPr="004D1A84">
        <w:rPr>
          <w:sz w:val="20"/>
        </w:rPr>
        <w:t>according to the flow</w:t>
      </w:r>
      <w:r w:rsidR="001D6E23">
        <w:rPr>
          <w:sz w:val="20"/>
        </w:rPr>
        <w:t xml:space="preserve"> rate</w:t>
      </w:r>
      <w:r w:rsidR="008F1983" w:rsidRPr="004D1A84">
        <w:rPr>
          <w:sz w:val="20"/>
        </w:rPr>
        <w:t xml:space="preserve"> to be measured</w:t>
      </w:r>
      <w:r w:rsidR="001D6E23">
        <w:rPr>
          <w:sz w:val="20"/>
        </w:rPr>
        <w:t>.</w:t>
      </w:r>
      <w:r w:rsidR="00A447E0">
        <w:rPr>
          <w:sz w:val="20"/>
        </w:rPr>
        <w:t xml:space="preserve"> </w:t>
      </w:r>
      <w:r w:rsidR="00A447E0" w:rsidRPr="00CC101B">
        <w:rPr>
          <w:sz w:val="20"/>
        </w:rPr>
        <w:t>Both balances are installed in vibration-free tables, in the same ambient control room where t</w:t>
      </w:r>
      <w:r w:rsidR="00A447E0">
        <w:rPr>
          <w:sz w:val="20"/>
        </w:rPr>
        <w:t>he calibrations are performed</w:t>
      </w:r>
      <w:r w:rsidR="00EC46CC">
        <w:rPr>
          <w:sz w:val="20"/>
        </w:rPr>
        <w:t>,</w:t>
      </w:r>
      <w:r w:rsidR="00A447E0">
        <w:rPr>
          <w:sz w:val="20"/>
        </w:rPr>
        <w:t xml:space="preserve"> in a temperature range of (20 ± 3) ºC and</w:t>
      </w:r>
      <w:r w:rsidR="00A447E0" w:rsidRPr="00CC101B">
        <w:rPr>
          <w:sz w:val="20"/>
        </w:rPr>
        <w:t xml:space="preserve"> a relative humidity above 50</w:t>
      </w:r>
      <w:r w:rsidR="009F1661">
        <w:rPr>
          <w:sz w:val="20"/>
        </w:rPr>
        <w:t> </w:t>
      </w:r>
      <w:r w:rsidR="00A447E0" w:rsidRPr="00CC101B">
        <w:rPr>
          <w:sz w:val="20"/>
        </w:rPr>
        <w:t>%.</w:t>
      </w:r>
      <w:r w:rsidR="00A447E0">
        <w:rPr>
          <w:sz w:val="20"/>
        </w:rPr>
        <w:t xml:space="preserve"> </w:t>
      </w:r>
      <w:r w:rsidR="001D6E23">
        <w:rPr>
          <w:sz w:val="20"/>
        </w:rPr>
        <w:t>Th</w:t>
      </w:r>
      <w:r w:rsidR="00262AE5">
        <w:rPr>
          <w:sz w:val="20"/>
        </w:rPr>
        <w:t>ese</w:t>
      </w:r>
      <w:r w:rsidR="001D6E23">
        <w:rPr>
          <w:sz w:val="20"/>
        </w:rPr>
        <w:t xml:space="preserve"> balances are in synch with a computer which </w:t>
      </w:r>
      <w:r w:rsidR="00EC46CC">
        <w:rPr>
          <w:sz w:val="20"/>
        </w:rPr>
        <w:t>collects</w:t>
      </w:r>
      <w:r w:rsidR="001D6E23">
        <w:rPr>
          <w:sz w:val="20"/>
        </w:rPr>
        <w:t xml:space="preserve"> and analyses the weighted </w:t>
      </w:r>
      <w:r w:rsidR="003642D6">
        <w:rPr>
          <w:sz w:val="20"/>
        </w:rPr>
        <w:t>liquid with precise time measurements (</w:t>
      </w:r>
      <w:r w:rsidR="003642D6" w:rsidRPr="004D1A84">
        <w:rPr>
          <w:sz w:val="20"/>
        </w:rPr>
        <w:t>every 50</w:t>
      </w:r>
      <w:r w:rsidR="009F1661">
        <w:rPr>
          <w:sz w:val="20"/>
        </w:rPr>
        <w:t> </w:t>
      </w:r>
      <w:r w:rsidR="003642D6" w:rsidRPr="004D1A84">
        <w:rPr>
          <w:sz w:val="20"/>
        </w:rPr>
        <w:t>ms</w:t>
      </w:r>
      <w:r w:rsidR="003642D6">
        <w:rPr>
          <w:sz w:val="20"/>
        </w:rPr>
        <w:t xml:space="preserve">). This is performed by a </w:t>
      </w:r>
      <w:r w:rsidR="00D075D7">
        <w:rPr>
          <w:i/>
          <w:sz w:val="20"/>
        </w:rPr>
        <w:t>LABVIEW</w:t>
      </w:r>
      <w:r w:rsidR="003642D6">
        <w:rPr>
          <w:i/>
          <w:sz w:val="20"/>
        </w:rPr>
        <w:t xml:space="preserve"> </w:t>
      </w:r>
      <w:r w:rsidR="00A7622D" w:rsidRPr="00262AE5">
        <w:rPr>
          <w:sz w:val="20"/>
        </w:rPr>
        <w:t>bespoke</w:t>
      </w:r>
      <w:r w:rsidR="003642D6">
        <w:rPr>
          <w:i/>
          <w:sz w:val="20"/>
        </w:rPr>
        <w:t xml:space="preserve"> </w:t>
      </w:r>
      <w:r w:rsidR="003642D6">
        <w:rPr>
          <w:sz w:val="20"/>
        </w:rPr>
        <w:t>program [8]</w:t>
      </w:r>
      <w:r w:rsidR="00EC46CC">
        <w:rPr>
          <w:sz w:val="20"/>
        </w:rPr>
        <w:t xml:space="preserve"> developed on purpose for this measurement method</w:t>
      </w:r>
      <w:r w:rsidR="003642D6" w:rsidRPr="004D1A84">
        <w:rPr>
          <w:sz w:val="20"/>
        </w:rPr>
        <w:t>.</w:t>
      </w:r>
    </w:p>
    <w:p w14:paraId="29F6AC7C" w14:textId="77777777" w:rsidR="001D6E23" w:rsidRDefault="001D6E23" w:rsidP="004D1A84">
      <w:pPr>
        <w:jc w:val="both"/>
        <w:rPr>
          <w:sz w:val="20"/>
        </w:rPr>
      </w:pPr>
    </w:p>
    <w:p w14:paraId="7743CF3C" w14:textId="525E3A1C" w:rsidR="00D3391B" w:rsidRDefault="00A447E0" w:rsidP="002548BB">
      <w:pPr>
        <w:jc w:val="both"/>
        <w:rPr>
          <w:sz w:val="20"/>
        </w:rPr>
      </w:pPr>
      <w:r>
        <w:rPr>
          <w:sz w:val="20"/>
        </w:rPr>
        <w:t xml:space="preserve">As a calibration </w:t>
      </w:r>
      <w:r w:rsidR="00EC46CC">
        <w:rPr>
          <w:sz w:val="20"/>
        </w:rPr>
        <w:t>liquid</w:t>
      </w:r>
      <w:r w:rsidR="00D3391B">
        <w:rPr>
          <w:sz w:val="20"/>
        </w:rPr>
        <w:t>,</w:t>
      </w:r>
      <w:r>
        <w:rPr>
          <w:sz w:val="20"/>
        </w:rPr>
        <w:t xml:space="preserve"> </w:t>
      </w:r>
      <w:r w:rsidRPr="008B1BEB">
        <w:rPr>
          <w:sz w:val="20"/>
        </w:rPr>
        <w:t>u</w:t>
      </w:r>
      <w:r w:rsidR="002548BB" w:rsidRPr="008B1BEB">
        <w:rPr>
          <w:sz w:val="20"/>
        </w:rPr>
        <w:t>ltrapure</w:t>
      </w:r>
      <w:r w:rsidR="00D3391B" w:rsidRPr="008B1BEB">
        <w:rPr>
          <w:sz w:val="20"/>
        </w:rPr>
        <w:t xml:space="preserve"> </w:t>
      </w:r>
      <w:r w:rsidR="005E225E" w:rsidRPr="008B1BEB">
        <w:rPr>
          <w:sz w:val="20"/>
        </w:rPr>
        <w:t>[9]</w:t>
      </w:r>
      <w:r w:rsidR="00A7622D" w:rsidRPr="008B1BEB">
        <w:rPr>
          <w:sz w:val="20"/>
        </w:rPr>
        <w:t xml:space="preserve"> </w:t>
      </w:r>
      <w:r w:rsidR="002548BB" w:rsidRPr="008B1BEB">
        <w:rPr>
          <w:sz w:val="20"/>
        </w:rPr>
        <w:t xml:space="preserve">and </w:t>
      </w:r>
      <w:r w:rsidR="002548BB">
        <w:rPr>
          <w:sz w:val="20"/>
        </w:rPr>
        <w:t xml:space="preserve">degassed water </w:t>
      </w:r>
      <w:r>
        <w:rPr>
          <w:sz w:val="20"/>
        </w:rPr>
        <w:t xml:space="preserve">was </w:t>
      </w:r>
      <w:r w:rsidR="002548BB">
        <w:rPr>
          <w:sz w:val="20"/>
        </w:rPr>
        <w:t>used</w:t>
      </w:r>
      <w:r w:rsidR="00D3391B">
        <w:rPr>
          <w:sz w:val="20"/>
        </w:rPr>
        <w:t>. An evaporation trap was installed around the weighing vessel to prevent water evaporation (Figure 2).</w:t>
      </w:r>
    </w:p>
    <w:p w14:paraId="7F7227DB" w14:textId="77777777" w:rsidR="002548BB" w:rsidRPr="004D1A84" w:rsidRDefault="002548BB" w:rsidP="004D1A84">
      <w:pPr>
        <w:jc w:val="both"/>
        <w:rPr>
          <w:sz w:val="20"/>
        </w:rPr>
      </w:pPr>
    </w:p>
    <w:p w14:paraId="596FEE86" w14:textId="77777777" w:rsidR="008F1983" w:rsidRPr="008F1983" w:rsidRDefault="00FC6E9D" w:rsidP="004D1A84">
      <w:pPr>
        <w:jc w:val="center"/>
        <w:rPr>
          <w:szCs w:val="24"/>
          <w:lang w:val="en-GB"/>
        </w:rPr>
      </w:pPr>
      <w:r w:rsidRPr="00E62876">
        <w:rPr>
          <w:noProof/>
          <w:lang w:val="pt-PT" w:eastAsia="pt-PT"/>
        </w:rPr>
        <w:lastRenderedPageBreak/>
        <w:drawing>
          <wp:inline distT="0" distB="0" distL="0" distR="0" wp14:anchorId="71EEE941" wp14:editId="7577667C">
            <wp:extent cx="2105025" cy="1581149"/>
            <wp:effectExtent l="0" t="0" r="0" b="635"/>
            <wp:docPr id="4" name="Imagem 4" descr="V:\Estágios\Luis Sousa\Ensaios caudal\Tubagem plástica\20140429_160158.jpg"/>
            <wp:cNvGraphicFramePr/>
            <a:graphic xmlns:a="http://schemas.openxmlformats.org/drawingml/2006/main">
              <a:graphicData uri="http://schemas.openxmlformats.org/drawingml/2006/picture">
                <pic:pic xmlns:pic="http://schemas.openxmlformats.org/drawingml/2006/picture">
                  <pic:nvPicPr>
                    <pic:cNvPr id="5" name="Imagem 4" descr="V:\Estágios\Luis Sousa\Ensaios caudal\Tubagem plástica\20140429_160158.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7859" cy="1583277"/>
                    </a:xfrm>
                    <a:prstGeom prst="rect">
                      <a:avLst/>
                    </a:prstGeom>
                    <a:noFill/>
                    <a:ln>
                      <a:noFill/>
                    </a:ln>
                  </pic:spPr>
                </pic:pic>
              </a:graphicData>
            </a:graphic>
          </wp:inline>
        </w:drawing>
      </w:r>
    </w:p>
    <w:p w14:paraId="361E6F29" w14:textId="03E82AAE" w:rsidR="008F1983" w:rsidRDefault="008F1983" w:rsidP="008F1983">
      <w:pPr>
        <w:pStyle w:val="Legenda"/>
      </w:pPr>
      <w:r>
        <w:t>Figure 2</w:t>
      </w:r>
      <w:r w:rsidRPr="00D261F8">
        <w:rPr>
          <w:color w:val="000000" w:themeColor="text1"/>
          <w:sz w:val="20"/>
          <w:lang w:val="en-US"/>
        </w:rPr>
        <w:t>:</w:t>
      </w:r>
      <w:r w:rsidRPr="00D261F8">
        <w:rPr>
          <w:b w:val="0"/>
          <w:color w:val="000000" w:themeColor="text1"/>
          <w:sz w:val="20"/>
          <w:lang w:val="en-US"/>
        </w:rPr>
        <w:t xml:space="preserve"> </w:t>
      </w:r>
      <w:r w:rsidR="00D3391B">
        <w:rPr>
          <w:b w:val="0"/>
        </w:rPr>
        <w:t>B</w:t>
      </w:r>
      <w:r w:rsidRPr="008F1983">
        <w:rPr>
          <w:b w:val="0"/>
        </w:rPr>
        <w:t>alance</w:t>
      </w:r>
      <w:r w:rsidR="00D3391B">
        <w:rPr>
          <w:b w:val="0"/>
        </w:rPr>
        <w:t xml:space="preserve"> </w:t>
      </w:r>
      <w:r w:rsidR="00262AE5" w:rsidRPr="008B1BEB">
        <w:rPr>
          <w:b w:val="0"/>
        </w:rPr>
        <w:t>AX26</w:t>
      </w:r>
      <w:r w:rsidR="00A7622D" w:rsidRPr="008B1BEB">
        <w:rPr>
          <w:b w:val="0"/>
        </w:rPr>
        <w:t xml:space="preserve"> </w:t>
      </w:r>
      <w:r w:rsidR="00ED26DE" w:rsidRPr="008B1BEB">
        <w:rPr>
          <w:b w:val="0"/>
        </w:rPr>
        <w:t xml:space="preserve">an evaporation </w:t>
      </w:r>
      <w:r w:rsidR="00ED26DE">
        <w:rPr>
          <w:b w:val="0"/>
        </w:rPr>
        <w:t xml:space="preserve">vessel in its plate (on the left) and a </w:t>
      </w:r>
      <w:r w:rsidR="00FC6E9D">
        <w:rPr>
          <w:b w:val="0"/>
        </w:rPr>
        <w:t>syringe pump</w:t>
      </w:r>
      <w:r w:rsidRPr="008F1983">
        <w:rPr>
          <w:b w:val="0"/>
        </w:rPr>
        <w:t xml:space="preserve"> </w:t>
      </w:r>
      <w:r w:rsidR="00ED26DE">
        <w:rPr>
          <w:b w:val="0"/>
        </w:rPr>
        <w:t xml:space="preserve">(on the right) during a </w:t>
      </w:r>
      <w:r w:rsidRPr="008F1983">
        <w:rPr>
          <w:b w:val="0"/>
        </w:rPr>
        <w:t xml:space="preserve">calibration. </w:t>
      </w:r>
    </w:p>
    <w:p w14:paraId="489B41A0" w14:textId="77777777" w:rsidR="00CC101B" w:rsidRDefault="00CC101B" w:rsidP="004D1A84">
      <w:pPr>
        <w:jc w:val="both"/>
        <w:rPr>
          <w:sz w:val="20"/>
        </w:rPr>
      </w:pPr>
    </w:p>
    <w:p w14:paraId="073166C7" w14:textId="4F021BED" w:rsidR="00210A86" w:rsidRDefault="00D3391B" w:rsidP="004D1A84">
      <w:pPr>
        <w:jc w:val="both"/>
        <w:rPr>
          <w:sz w:val="20"/>
        </w:rPr>
      </w:pPr>
      <w:r>
        <w:rPr>
          <w:sz w:val="20"/>
        </w:rPr>
        <w:t xml:space="preserve">Although evaporation is kept to a minimum </w:t>
      </w:r>
      <w:r w:rsidR="00D075D7">
        <w:rPr>
          <w:sz w:val="20"/>
        </w:rPr>
        <w:t>value</w:t>
      </w:r>
      <w:r w:rsidR="00EC46CC">
        <w:rPr>
          <w:sz w:val="20"/>
        </w:rPr>
        <w:t>,</w:t>
      </w:r>
      <w:r w:rsidR="00D075D7">
        <w:rPr>
          <w:sz w:val="20"/>
        </w:rPr>
        <w:t xml:space="preserve"> </w:t>
      </w:r>
      <w:r>
        <w:rPr>
          <w:sz w:val="20"/>
        </w:rPr>
        <w:t>the determined</w:t>
      </w:r>
      <w:r w:rsidRPr="004D1A84">
        <w:rPr>
          <w:sz w:val="20"/>
        </w:rPr>
        <w:t xml:space="preserve"> </w:t>
      </w:r>
      <w:r w:rsidR="004D1A84" w:rsidRPr="004D1A84">
        <w:rPr>
          <w:sz w:val="20"/>
        </w:rPr>
        <w:t>evaporation rate (</w:t>
      </w:r>
      <w:r w:rsidR="004D1A84" w:rsidRPr="004D1A84">
        <w:rPr>
          <w:rFonts w:ascii="Symbol" w:hAnsi="Symbol"/>
          <w:i/>
          <w:sz w:val="20"/>
        </w:rPr>
        <w:t></w:t>
      </w:r>
      <w:r w:rsidR="004D1A84" w:rsidRPr="004D1A84">
        <w:rPr>
          <w:i/>
          <w:sz w:val="20"/>
        </w:rPr>
        <w:t>Q</w:t>
      </w:r>
      <w:r w:rsidR="004D1A84" w:rsidRPr="008F6231">
        <w:rPr>
          <w:i/>
          <w:sz w:val="20"/>
          <w:vertAlign w:val="subscript"/>
        </w:rPr>
        <w:t>evap</w:t>
      </w:r>
      <w:r w:rsidR="004D1A84" w:rsidRPr="004D1A84">
        <w:rPr>
          <w:sz w:val="20"/>
        </w:rPr>
        <w:t xml:space="preserve">) is </w:t>
      </w:r>
      <w:r>
        <w:rPr>
          <w:sz w:val="20"/>
        </w:rPr>
        <w:t>considered</w:t>
      </w:r>
      <w:r w:rsidR="004D1A84" w:rsidRPr="004D1A84">
        <w:rPr>
          <w:sz w:val="20"/>
        </w:rPr>
        <w:t xml:space="preserve"> as a correction term in the volume flow rate</w:t>
      </w:r>
      <w:r w:rsidR="00210A86">
        <w:rPr>
          <w:sz w:val="20"/>
        </w:rPr>
        <w:t xml:space="preserve"> (</w:t>
      </w:r>
      <w:r w:rsidR="00210A86">
        <w:rPr>
          <w:i/>
          <w:sz w:val="20"/>
        </w:rPr>
        <w:t>Q</w:t>
      </w:r>
      <w:r w:rsidR="00210A86">
        <w:rPr>
          <w:sz w:val="20"/>
        </w:rPr>
        <w:t>)</w:t>
      </w:r>
      <w:r w:rsidR="004D1A84" w:rsidRPr="004D1A84">
        <w:rPr>
          <w:sz w:val="20"/>
        </w:rPr>
        <w:t xml:space="preserve"> </w:t>
      </w:r>
      <w:r w:rsidR="00851EBC">
        <w:rPr>
          <w:sz w:val="20"/>
        </w:rPr>
        <w:t xml:space="preserve">(equation </w:t>
      </w:r>
      <w:r w:rsidR="004D1A84" w:rsidRPr="004D1A84">
        <w:rPr>
          <w:sz w:val="20"/>
        </w:rPr>
        <w:t>1). Other contributions to the model are the density of the liquid (</w:t>
      </w:r>
      <w:r w:rsidR="004D1A84" w:rsidRPr="004D1A84">
        <w:rPr>
          <w:rFonts w:ascii="Symbol" w:hAnsi="Symbol"/>
          <w:i/>
          <w:sz w:val="20"/>
        </w:rPr>
        <w:t></w:t>
      </w:r>
      <w:r w:rsidR="004D1A84" w:rsidRPr="008F6231">
        <w:rPr>
          <w:sz w:val="20"/>
          <w:vertAlign w:val="subscript"/>
        </w:rPr>
        <w:t>W</w:t>
      </w:r>
      <w:r w:rsidR="004D1A84" w:rsidRPr="004D1A84">
        <w:rPr>
          <w:sz w:val="20"/>
        </w:rPr>
        <w:t>), final time (</w:t>
      </w:r>
      <w:r w:rsidR="004D1A84" w:rsidRPr="008F6231">
        <w:rPr>
          <w:i/>
          <w:sz w:val="20"/>
        </w:rPr>
        <w:t>t</w:t>
      </w:r>
      <w:r w:rsidR="004D1A84" w:rsidRPr="008F6231">
        <w:rPr>
          <w:i/>
          <w:sz w:val="20"/>
          <w:vertAlign w:val="subscript"/>
        </w:rPr>
        <w:t>f</w:t>
      </w:r>
      <w:r w:rsidR="004D1A84" w:rsidRPr="004D1A84">
        <w:rPr>
          <w:sz w:val="20"/>
        </w:rPr>
        <w:t>), initial time (</w:t>
      </w:r>
      <w:r w:rsidR="004D1A84" w:rsidRPr="008F6231">
        <w:rPr>
          <w:i/>
          <w:sz w:val="20"/>
        </w:rPr>
        <w:t>t</w:t>
      </w:r>
      <w:r w:rsidR="004D1A84" w:rsidRPr="008F6231">
        <w:rPr>
          <w:i/>
          <w:sz w:val="20"/>
          <w:vertAlign w:val="subscript"/>
        </w:rPr>
        <w:t>i</w:t>
      </w:r>
      <w:r w:rsidR="004D1A84" w:rsidRPr="004D1A84">
        <w:rPr>
          <w:sz w:val="20"/>
        </w:rPr>
        <w:t>), final mass (</w:t>
      </w:r>
      <w:r w:rsidR="004D1A84" w:rsidRPr="008F6231">
        <w:rPr>
          <w:i/>
          <w:sz w:val="20"/>
        </w:rPr>
        <w:t>I</w:t>
      </w:r>
      <w:r w:rsidR="004D1A84" w:rsidRPr="008F6231">
        <w:rPr>
          <w:i/>
          <w:sz w:val="20"/>
          <w:vertAlign w:val="subscript"/>
        </w:rPr>
        <w:t>f</w:t>
      </w:r>
      <w:r w:rsidR="004D1A84" w:rsidRPr="004D1A84">
        <w:rPr>
          <w:sz w:val="20"/>
        </w:rPr>
        <w:t>), initial mass (</w:t>
      </w:r>
      <w:r w:rsidR="004D1A84" w:rsidRPr="008F6231">
        <w:rPr>
          <w:i/>
          <w:sz w:val="20"/>
        </w:rPr>
        <w:t>I</w:t>
      </w:r>
      <w:r w:rsidR="004D1A84" w:rsidRPr="008F6231">
        <w:rPr>
          <w:i/>
          <w:sz w:val="20"/>
          <w:vertAlign w:val="subscript"/>
        </w:rPr>
        <w:t>i</w:t>
      </w:r>
      <w:r w:rsidR="004D1A84" w:rsidRPr="004D1A84">
        <w:rPr>
          <w:sz w:val="20"/>
        </w:rPr>
        <w:t>), air density (</w:t>
      </w:r>
      <w:r w:rsidR="004D1A84" w:rsidRPr="008F6231">
        <w:rPr>
          <w:rFonts w:ascii="Symbol" w:hAnsi="Symbol"/>
          <w:i/>
          <w:sz w:val="20"/>
        </w:rPr>
        <w:t></w:t>
      </w:r>
      <w:r w:rsidR="004D1A84" w:rsidRPr="008F6231">
        <w:rPr>
          <w:i/>
          <w:sz w:val="20"/>
          <w:vertAlign w:val="subscript"/>
        </w:rPr>
        <w:t>A</w:t>
      </w:r>
      <w:r w:rsidR="004D1A84" w:rsidRPr="004D1A84">
        <w:rPr>
          <w:sz w:val="20"/>
        </w:rPr>
        <w:t>), mass pieces density (</w:t>
      </w:r>
      <w:r w:rsidR="004D1A84" w:rsidRPr="008F6231">
        <w:rPr>
          <w:rFonts w:ascii="Symbol" w:hAnsi="Symbol"/>
          <w:i/>
          <w:sz w:val="20"/>
        </w:rPr>
        <w:t></w:t>
      </w:r>
      <w:r w:rsidR="004D1A84" w:rsidRPr="008F6231">
        <w:rPr>
          <w:i/>
          <w:sz w:val="20"/>
          <w:vertAlign w:val="subscript"/>
        </w:rPr>
        <w:t>B</w:t>
      </w:r>
      <w:r w:rsidR="004D1A84" w:rsidRPr="004D1A84">
        <w:rPr>
          <w:sz w:val="20"/>
        </w:rPr>
        <w:t>), expansion coefficient (</w:t>
      </w:r>
      <w:r w:rsidR="004D1A84" w:rsidRPr="00EC46CC">
        <w:rPr>
          <w:rFonts w:ascii="Symbol" w:hAnsi="Symbol"/>
          <w:i/>
          <w:sz w:val="20"/>
        </w:rPr>
        <w:t></w:t>
      </w:r>
      <w:r w:rsidR="004D1A84" w:rsidRPr="004D1A84">
        <w:rPr>
          <w:sz w:val="20"/>
        </w:rPr>
        <w:t>) and water temperature (</w:t>
      </w:r>
      <w:r w:rsidR="004D1A84" w:rsidRPr="008F6231">
        <w:rPr>
          <w:i/>
          <w:sz w:val="20"/>
        </w:rPr>
        <w:t>T</w:t>
      </w:r>
      <w:r w:rsidR="004D1A84" w:rsidRPr="004D1A84">
        <w:rPr>
          <w:sz w:val="20"/>
        </w:rPr>
        <w:t>).</w:t>
      </w:r>
      <w:r w:rsidR="008F6231">
        <w:rPr>
          <w:sz w:val="20"/>
        </w:rPr>
        <w:t xml:space="preserve"> </w:t>
      </w:r>
      <w:r w:rsidR="00210A86">
        <w:rPr>
          <w:sz w:val="20"/>
        </w:rPr>
        <w:t xml:space="preserve">The </w:t>
      </w:r>
      <w:r w:rsidR="00210A86" w:rsidRPr="004D1A84">
        <w:rPr>
          <w:rFonts w:ascii="Symbol" w:hAnsi="Symbol"/>
          <w:i/>
          <w:sz w:val="20"/>
        </w:rPr>
        <w:t></w:t>
      </w:r>
      <w:r w:rsidR="00210A86">
        <w:rPr>
          <w:i/>
          <w:sz w:val="20"/>
        </w:rPr>
        <w:t>m</w:t>
      </w:r>
      <w:r w:rsidR="00210A86">
        <w:rPr>
          <w:i/>
          <w:sz w:val="20"/>
          <w:vertAlign w:val="subscript"/>
        </w:rPr>
        <w:t xml:space="preserve">buoy </w:t>
      </w:r>
      <w:r w:rsidR="00A7622D" w:rsidRPr="00262AE5">
        <w:rPr>
          <w:sz w:val="20"/>
        </w:rPr>
        <w:t>term</w:t>
      </w:r>
      <w:r w:rsidR="00210A86">
        <w:rPr>
          <w:i/>
          <w:sz w:val="20"/>
          <w:vertAlign w:val="subscript"/>
        </w:rPr>
        <w:t xml:space="preserve"> </w:t>
      </w:r>
      <w:r w:rsidR="00210A86">
        <w:rPr>
          <w:sz w:val="20"/>
        </w:rPr>
        <w:t xml:space="preserve">accounts for the buoyancy contribution of the dispensing needle immersed in the weighing vessel. </w:t>
      </w:r>
    </w:p>
    <w:p w14:paraId="0D4096FE" w14:textId="77777777" w:rsidR="008F6231" w:rsidRPr="00DB2122" w:rsidRDefault="008F6231" w:rsidP="004D1A84">
      <w:pPr>
        <w:jc w:val="both"/>
      </w:pPr>
    </w:p>
    <w:p w14:paraId="01ED58AE" w14:textId="77777777" w:rsidR="00FC6E9D" w:rsidRDefault="009F1661" w:rsidP="00FC6E9D">
      <m:oMath>
        <m:r>
          <w:rPr>
            <w:rFonts w:ascii="Cambria Math" w:hAnsi="Cambria Math"/>
            <w:sz w:val="20"/>
          </w:rPr>
          <m:t>Q=</m:t>
        </m:r>
        <m:f>
          <m:fPr>
            <m:ctrlPr>
              <w:rPr>
                <w:rFonts w:ascii="Cambria Math" w:hAnsi="Cambria Math"/>
                <w:i/>
                <w:sz w:val="20"/>
              </w:rPr>
            </m:ctrlPr>
          </m:fPr>
          <m:num>
            <m:r>
              <w:rPr>
                <w:rFonts w:ascii="Cambria Math" w:hAnsi="Cambria Math"/>
                <w:sz w:val="20"/>
              </w:rPr>
              <m:t>1</m:t>
            </m:r>
          </m:num>
          <m:den>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i</m:t>
                </m:r>
              </m:sub>
            </m:sSub>
          </m:den>
        </m:f>
        <m:d>
          <m:dPr>
            <m:begChr m:val="["/>
            <m:endChr m:val="]"/>
            <m:shp m:val="match"/>
            <m:ctrlPr>
              <w:rPr>
                <w:rFonts w:ascii="Cambria Math" w:hAnsi="Cambria Math"/>
                <w:i/>
                <w:sz w:val="20"/>
              </w:rPr>
            </m:ctrlPr>
          </m:dPr>
          <m:e>
            <m:d>
              <m:dPr>
                <m:ctrlPr>
                  <w:rPr>
                    <w:rFonts w:ascii="Cambria Math" w:hAnsi="Cambria Math"/>
                    <w:i/>
                    <w:sz w:val="20"/>
                  </w:rPr>
                </m:ctrlPr>
              </m:d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i</m:t>
                        </m:r>
                      </m:sub>
                    </m:sSub>
                  </m:e>
                </m:d>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δm</m:t>
                        </m:r>
                      </m:e>
                      <m:sub>
                        <m:r>
                          <w:rPr>
                            <w:rFonts w:ascii="Cambria Math" w:hAnsi="Cambria Math"/>
                            <w:sz w:val="20"/>
                          </w:rPr>
                          <m:t>buoy</m:t>
                        </m:r>
                      </m:sub>
                    </m:sSub>
                  </m:e>
                </m:d>
              </m:e>
            </m:d>
            <m:r>
              <w:rPr>
                <w:rFonts w:ascii="Cambria Math" w:hAnsi="Cambria Math"/>
                <w:sz w:val="20"/>
              </w:rPr>
              <m:t>×</m:t>
            </m:r>
            <m:f>
              <m:fPr>
                <m:ctrlPr>
                  <w:rPr>
                    <w:rFonts w:ascii="Cambria Math" w:hAnsi="Cambria Math"/>
                    <w:i/>
                    <w:sz w:val="20"/>
                  </w:rPr>
                </m:ctrlPr>
              </m:fPr>
              <m:num>
                <m:r>
                  <w:rPr>
                    <w:rFonts w:ascii="Cambria Math" w:hAnsi="Cambria Math"/>
                    <w:sz w:val="20"/>
                  </w:rPr>
                  <m:t>1</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wW</m:t>
                    </m:r>
                  </m:sub>
                </m:sSub>
                <m:r>
                  <w:rPr>
                    <w:rFonts w:ascii="Cambria Math" w:hAnsi="Cambria Math"/>
                    <w:sz w:val="20"/>
                  </w:rPr>
                  <m:t>-</m:t>
                </m:r>
                <m:sSub>
                  <m:sSubPr>
                    <m:ctrlPr>
                      <w:rPr>
                        <w:rFonts w:ascii="Cambria Math" w:hAnsi="Cambria Math"/>
                        <w:i/>
                        <w:sz w:val="20"/>
                      </w:rPr>
                    </m:ctrlPr>
                  </m:sSubPr>
                  <m:e>
                    <m:r>
                      <w:rPr>
                        <w:rFonts w:ascii="Cambria Math" w:hAnsi="Cambria Math"/>
                        <w:sz w:val="20"/>
                      </w:rPr>
                      <m:t>ρ</m:t>
                    </m:r>
                  </m:e>
                  <m:sub>
                    <m:r>
                      <w:rPr>
                        <w:rFonts w:ascii="Cambria Math" w:hAnsi="Cambria Math"/>
                        <w:sz w:val="20"/>
                      </w:rPr>
                      <m:t>A</m:t>
                    </m:r>
                  </m:sub>
                </m:sSub>
              </m:den>
            </m:f>
            <m:r>
              <w:rPr>
                <w:rFonts w:ascii="Cambria Math" w:hAnsi="Cambria Math"/>
                <w:sz w:val="20"/>
              </w:rPr>
              <m:t>×</m:t>
            </m:r>
            <m:d>
              <m:dPr>
                <m:ctrlPr>
                  <w:rPr>
                    <w:rFonts w:ascii="Cambria Math" w:hAnsi="Cambria Math"/>
                    <w:i/>
                    <w:sz w:val="20"/>
                  </w:rPr>
                </m:ctrlPr>
              </m:dPr>
              <m:e>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ρ</m:t>
                        </m:r>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B</m:t>
                        </m:r>
                      </m:sub>
                    </m:sSub>
                  </m:den>
                </m:f>
              </m:e>
            </m:d>
            <m:r>
              <w:rPr>
                <w:rFonts w:ascii="Cambria Math" w:hAnsi="Cambria Math"/>
                <w:sz w:val="20"/>
              </w:rPr>
              <m:t>×</m:t>
            </m:r>
            <m:d>
              <m:dPr>
                <m:begChr m:val="["/>
                <m:endChr m:val="]"/>
                <m:ctrlPr>
                  <w:rPr>
                    <w:rFonts w:ascii="Cambria Math" w:hAnsi="Cambria Math"/>
                    <w:i/>
                    <w:sz w:val="20"/>
                  </w:rPr>
                </m:ctrlPr>
              </m:dPr>
              <m:e>
                <m:r>
                  <w:rPr>
                    <w:rFonts w:ascii="Cambria Math" w:hAnsi="Cambria Math"/>
                    <w:sz w:val="20"/>
                  </w:rPr>
                  <m:t>1-γ</m:t>
                </m:r>
                <m:d>
                  <m:dPr>
                    <m:ctrlPr>
                      <w:rPr>
                        <w:rFonts w:ascii="Cambria Math" w:hAnsi="Cambria Math"/>
                        <w:i/>
                        <w:sz w:val="20"/>
                      </w:rPr>
                    </m:ctrlPr>
                  </m:dPr>
                  <m:e>
                    <m:r>
                      <w:rPr>
                        <w:rFonts w:ascii="Cambria Math" w:hAnsi="Cambria Math"/>
                        <w:sz w:val="20"/>
                      </w:rPr>
                      <m:t>T-20</m:t>
                    </m:r>
                  </m:e>
                </m:d>
              </m:e>
            </m:d>
          </m:e>
        </m:d>
        <m:r>
          <w:rPr>
            <w:rFonts w:ascii="Cambria Math" w:hAnsi="Cambria Math"/>
            <w:sz w:val="20"/>
          </w:rPr>
          <m:t>+</m:t>
        </m:r>
        <m:sSub>
          <m:sSubPr>
            <m:ctrlPr>
              <w:rPr>
                <w:rFonts w:ascii="Cambria Math" w:hAnsi="Cambria Math"/>
                <w:i/>
                <w:sz w:val="20"/>
              </w:rPr>
            </m:ctrlPr>
          </m:sSubPr>
          <m:e>
            <m:r>
              <w:rPr>
                <w:rFonts w:ascii="Cambria Math" w:hAnsi="Cambria Math"/>
                <w:sz w:val="20"/>
              </w:rPr>
              <m:t>δ</m:t>
            </m:r>
          </m:e>
          <m:sub>
            <m:r>
              <w:rPr>
                <w:rFonts w:ascii="Cambria Math" w:hAnsi="Cambria Math"/>
                <w:sz w:val="20"/>
              </w:rPr>
              <m:t>evap</m:t>
            </m:r>
          </m:sub>
        </m:sSub>
      </m:oMath>
      <w:r w:rsidR="00652840">
        <w:rPr>
          <w:b/>
        </w:rPr>
        <w:t xml:space="preserve">         </w:t>
      </w:r>
      <w:r w:rsidR="004D1A84">
        <w:rPr>
          <w:b/>
        </w:rPr>
        <w:t xml:space="preserve">         </w:t>
      </w:r>
      <w:r w:rsidR="004D1A84" w:rsidRPr="002945F6">
        <w:rPr>
          <w:sz w:val="20"/>
        </w:rPr>
        <w:t>(1)</w:t>
      </w:r>
    </w:p>
    <w:p w14:paraId="3AB7892D" w14:textId="77777777" w:rsidR="00FC6E9D" w:rsidRDefault="00FC6E9D" w:rsidP="00FC6E9D"/>
    <w:p w14:paraId="2E1651CD" w14:textId="77777777" w:rsidR="00FC6E9D" w:rsidRPr="00FC6E9D" w:rsidRDefault="00FC6E9D" w:rsidP="00FC6E9D">
      <w:pPr>
        <w:rPr>
          <w:i/>
          <w:sz w:val="20"/>
        </w:rPr>
      </w:pPr>
      <w:r w:rsidRPr="00FC6E9D">
        <w:rPr>
          <w:i/>
          <w:sz w:val="20"/>
        </w:rPr>
        <w:t>3.2 Calibration procedure</w:t>
      </w:r>
    </w:p>
    <w:p w14:paraId="0531482F" w14:textId="1A5A4908" w:rsidR="005E225E" w:rsidRDefault="00851EBC" w:rsidP="005E225E">
      <w:pPr>
        <w:jc w:val="both"/>
        <w:rPr>
          <w:sz w:val="20"/>
        </w:rPr>
      </w:pPr>
      <w:r>
        <w:rPr>
          <w:sz w:val="20"/>
        </w:rPr>
        <w:t>The calibration procedure</w:t>
      </w:r>
      <w:r w:rsidR="00EC46CC">
        <w:rPr>
          <w:sz w:val="20"/>
        </w:rPr>
        <w:t xml:space="preserve"> for syringe pumps</w:t>
      </w:r>
      <w:r w:rsidR="005E225E">
        <w:rPr>
          <w:sz w:val="20"/>
        </w:rPr>
        <w:t xml:space="preserve"> is as follows:</w:t>
      </w:r>
    </w:p>
    <w:p w14:paraId="4EAAEEB7" w14:textId="77777777" w:rsidR="005E225E" w:rsidRDefault="005E225E" w:rsidP="005E225E">
      <w:pPr>
        <w:jc w:val="both"/>
        <w:rPr>
          <w:sz w:val="20"/>
        </w:rPr>
      </w:pPr>
    </w:p>
    <w:p w14:paraId="0E94D2CD" w14:textId="3D074070" w:rsidR="005E225E" w:rsidRDefault="005E225E" w:rsidP="005E225E">
      <w:pPr>
        <w:jc w:val="both"/>
        <w:rPr>
          <w:sz w:val="20"/>
        </w:rPr>
      </w:pPr>
      <w:r>
        <w:rPr>
          <w:sz w:val="20"/>
        </w:rPr>
        <w:t>1. Equilibrate the syringe, the water and all the apparatus at</w:t>
      </w:r>
      <w:r w:rsidR="00EC46CC">
        <w:rPr>
          <w:sz w:val="20"/>
        </w:rPr>
        <w:t xml:space="preserve"> a temperature of</w:t>
      </w:r>
      <w:r>
        <w:rPr>
          <w:sz w:val="20"/>
        </w:rPr>
        <w:t xml:space="preserve"> </w:t>
      </w:r>
      <w:r w:rsidR="00EC46CC">
        <w:rPr>
          <w:sz w:val="20"/>
        </w:rPr>
        <w:t xml:space="preserve">approximately </w:t>
      </w:r>
      <w:r>
        <w:rPr>
          <w:sz w:val="20"/>
        </w:rPr>
        <w:t>20 ºC for 24 h before testing.</w:t>
      </w:r>
    </w:p>
    <w:p w14:paraId="7E67C0A9" w14:textId="77777777" w:rsidR="005E225E" w:rsidRDefault="005E225E" w:rsidP="005E225E">
      <w:pPr>
        <w:jc w:val="both"/>
        <w:rPr>
          <w:sz w:val="20"/>
        </w:rPr>
      </w:pPr>
    </w:p>
    <w:p w14:paraId="6D570A74" w14:textId="2401C179" w:rsidR="005E225E" w:rsidRDefault="005E225E" w:rsidP="005E225E">
      <w:pPr>
        <w:jc w:val="both"/>
        <w:rPr>
          <w:sz w:val="20"/>
        </w:rPr>
      </w:pPr>
      <w:r>
        <w:rPr>
          <w:sz w:val="20"/>
        </w:rPr>
        <w:t xml:space="preserve">2. The temperature of the water as well the room temperature, relative humidity and atmospheric pressure are </w:t>
      </w:r>
      <w:r w:rsidR="00851EBC">
        <w:rPr>
          <w:sz w:val="20"/>
        </w:rPr>
        <w:t xml:space="preserve">continuously </w:t>
      </w:r>
      <w:r w:rsidR="00EC46CC">
        <w:rPr>
          <w:sz w:val="20"/>
        </w:rPr>
        <w:t xml:space="preserve">measured and </w:t>
      </w:r>
      <w:r w:rsidR="00851EBC">
        <w:rPr>
          <w:sz w:val="20"/>
        </w:rPr>
        <w:t>registered throughout the experiment</w:t>
      </w:r>
      <w:r>
        <w:rPr>
          <w:sz w:val="20"/>
        </w:rPr>
        <w:t>.</w:t>
      </w:r>
    </w:p>
    <w:p w14:paraId="3F38F61B" w14:textId="77777777" w:rsidR="005E225E" w:rsidRPr="002945F6" w:rsidRDefault="005E225E" w:rsidP="005E225E">
      <w:pPr>
        <w:jc w:val="both"/>
        <w:rPr>
          <w:sz w:val="20"/>
        </w:rPr>
      </w:pPr>
    </w:p>
    <w:p w14:paraId="07464E4B" w14:textId="49244D35" w:rsidR="005E225E" w:rsidRDefault="005E225E" w:rsidP="005E225E">
      <w:pPr>
        <w:jc w:val="both"/>
        <w:rPr>
          <w:sz w:val="20"/>
        </w:rPr>
      </w:pPr>
      <w:r>
        <w:rPr>
          <w:sz w:val="20"/>
        </w:rPr>
        <w:t>3. The syringe is filled with ultrapure degassed water to beyond its nominal capacity. Before attaching the Teflon tube and mounting</w:t>
      </w:r>
      <w:r w:rsidR="00EC46CC">
        <w:rPr>
          <w:sz w:val="20"/>
        </w:rPr>
        <w:t xml:space="preserve"> it</w:t>
      </w:r>
      <w:r>
        <w:rPr>
          <w:sz w:val="20"/>
        </w:rPr>
        <w:t xml:space="preserve"> on the pump</w:t>
      </w:r>
      <w:r w:rsidR="00D075D7">
        <w:rPr>
          <w:sz w:val="20"/>
        </w:rPr>
        <w:t>,</w:t>
      </w:r>
      <w:r>
        <w:rPr>
          <w:sz w:val="20"/>
        </w:rPr>
        <w:t xml:space="preserve"> remove the air bubbles by inverting</w:t>
      </w:r>
      <w:r w:rsidRPr="000B2FD9">
        <w:rPr>
          <w:sz w:val="20"/>
        </w:rPr>
        <w:t xml:space="preserve"> </w:t>
      </w:r>
      <w:r>
        <w:rPr>
          <w:sz w:val="20"/>
        </w:rPr>
        <w:t xml:space="preserve">the syringe so that the nozzle lumen is uppermost and depress the plunger. A needle is connected at the end of the tube. The line is </w:t>
      </w:r>
      <w:r w:rsidR="00D075D7">
        <w:rPr>
          <w:sz w:val="20"/>
        </w:rPr>
        <w:t>filled</w:t>
      </w:r>
      <w:r>
        <w:rPr>
          <w:sz w:val="20"/>
        </w:rPr>
        <w:t xml:space="preserve"> by running the syringe pump at a high rate until a steady flow of drops come at the end of the needle. </w:t>
      </w:r>
      <w:r w:rsidR="00D075D7">
        <w:rPr>
          <w:sz w:val="20"/>
        </w:rPr>
        <w:t>Finally</w:t>
      </w:r>
      <w:r>
        <w:rPr>
          <w:sz w:val="20"/>
        </w:rPr>
        <w:t xml:space="preserve"> the </w:t>
      </w:r>
      <w:r w:rsidR="00851EBC">
        <w:rPr>
          <w:sz w:val="20"/>
        </w:rPr>
        <w:t xml:space="preserve">needle </w:t>
      </w:r>
      <w:r w:rsidR="00EC46CC">
        <w:rPr>
          <w:sz w:val="20"/>
        </w:rPr>
        <w:t xml:space="preserve">is </w:t>
      </w:r>
      <w:r w:rsidRPr="002945F6">
        <w:rPr>
          <w:sz w:val="20"/>
        </w:rPr>
        <w:t xml:space="preserve">immersed in the water inside the </w:t>
      </w:r>
      <w:r>
        <w:rPr>
          <w:sz w:val="20"/>
        </w:rPr>
        <w:t>weighing</w:t>
      </w:r>
      <w:r w:rsidRPr="002945F6">
        <w:rPr>
          <w:sz w:val="20"/>
        </w:rPr>
        <w:t xml:space="preserve"> vessel.</w:t>
      </w:r>
    </w:p>
    <w:p w14:paraId="2F36369D" w14:textId="77777777" w:rsidR="005E225E" w:rsidRDefault="005E225E" w:rsidP="005E225E">
      <w:pPr>
        <w:jc w:val="both"/>
        <w:rPr>
          <w:sz w:val="20"/>
        </w:rPr>
      </w:pPr>
    </w:p>
    <w:p w14:paraId="4DD9F4AF" w14:textId="5237A187" w:rsidR="005E225E" w:rsidRPr="008337D0" w:rsidRDefault="005E225E" w:rsidP="005E225E">
      <w:pPr>
        <w:jc w:val="both"/>
        <w:rPr>
          <w:rFonts w:asciiTheme="majorBidi" w:hAnsiTheme="majorBidi" w:cstheme="majorBidi"/>
          <w:color w:val="222222"/>
          <w:sz w:val="20"/>
          <w:szCs w:val="16"/>
          <w:lang w:val="en"/>
        </w:rPr>
      </w:pPr>
      <w:r>
        <w:rPr>
          <w:sz w:val="20"/>
        </w:rPr>
        <w:t xml:space="preserve">4. The target flow is programed in the syringe pump. Data acquisition begins after 10 minutes of steady flow </w:t>
      </w:r>
      <w:r w:rsidR="00851EBC">
        <w:rPr>
          <w:sz w:val="20"/>
        </w:rPr>
        <w:t>over</w:t>
      </w:r>
      <w:r>
        <w:rPr>
          <w:sz w:val="20"/>
        </w:rPr>
        <w:t xml:space="preserve"> 15 minutes</w:t>
      </w:r>
      <w:r w:rsidR="00B45E05">
        <w:rPr>
          <w:sz w:val="20"/>
        </w:rPr>
        <w:t>.</w:t>
      </w:r>
      <w:r>
        <w:rPr>
          <w:sz w:val="20"/>
        </w:rPr>
        <w:t xml:space="preserve"> </w:t>
      </w:r>
      <w:r w:rsidR="00B45E05">
        <w:rPr>
          <w:sz w:val="20"/>
        </w:rPr>
        <w:t xml:space="preserve">An example of the </w:t>
      </w:r>
      <w:r w:rsidR="00EC46CC">
        <w:rPr>
          <w:sz w:val="20"/>
        </w:rPr>
        <w:t xml:space="preserve">data collection and </w:t>
      </w:r>
      <w:r w:rsidR="00B45E05">
        <w:rPr>
          <w:sz w:val="20"/>
        </w:rPr>
        <w:t xml:space="preserve">flow variability during a syringe </w:t>
      </w:r>
      <w:r w:rsidR="00EC46CC">
        <w:rPr>
          <w:sz w:val="20"/>
        </w:rPr>
        <w:t>pump calibration is presented in F</w:t>
      </w:r>
      <w:r w:rsidR="00B45E05">
        <w:rPr>
          <w:sz w:val="20"/>
        </w:rPr>
        <w:t xml:space="preserve">igure 3. The mean variation is </w:t>
      </w:r>
      <w:r w:rsidR="00851EBC">
        <w:rPr>
          <w:rFonts w:asciiTheme="majorBidi" w:hAnsiTheme="majorBidi" w:cstheme="majorBidi"/>
          <w:color w:val="222222"/>
          <w:sz w:val="20"/>
          <w:szCs w:val="16"/>
          <w:lang w:val="en"/>
        </w:rPr>
        <w:t xml:space="preserve">of the order </w:t>
      </w:r>
      <w:r w:rsidR="00851EBC" w:rsidRPr="008B4DBF">
        <w:rPr>
          <w:rFonts w:asciiTheme="majorBidi" w:hAnsiTheme="majorBidi" w:cstheme="majorBidi"/>
          <w:color w:val="222222"/>
          <w:sz w:val="20"/>
          <w:szCs w:val="16"/>
          <w:lang w:val="en"/>
        </w:rPr>
        <w:t>of</w:t>
      </w:r>
      <w:r w:rsidR="00851EBC">
        <w:rPr>
          <w:rFonts w:asciiTheme="majorBidi" w:hAnsiTheme="majorBidi" w:cstheme="majorBidi"/>
          <w:color w:val="222222"/>
          <w:sz w:val="20"/>
          <w:szCs w:val="16"/>
          <w:lang w:val="en"/>
        </w:rPr>
        <w:t xml:space="preserve"> </w:t>
      </w:r>
      <w:r w:rsidR="00B45E05">
        <w:rPr>
          <w:rFonts w:asciiTheme="majorBidi" w:hAnsiTheme="majorBidi" w:cstheme="majorBidi"/>
          <w:color w:val="222222"/>
          <w:sz w:val="20"/>
          <w:szCs w:val="16"/>
          <w:lang w:val="en"/>
        </w:rPr>
        <w:t>0</w:t>
      </w:r>
      <w:r w:rsidR="0028688D">
        <w:rPr>
          <w:rFonts w:asciiTheme="majorBidi" w:hAnsiTheme="majorBidi" w:cstheme="majorBidi"/>
          <w:color w:val="222222"/>
          <w:sz w:val="20"/>
          <w:szCs w:val="16"/>
          <w:lang w:val="en"/>
        </w:rPr>
        <w:t>.</w:t>
      </w:r>
      <w:r w:rsidR="001C6693">
        <w:rPr>
          <w:rFonts w:asciiTheme="majorBidi" w:hAnsiTheme="majorBidi" w:cstheme="majorBidi"/>
          <w:color w:val="222222"/>
          <w:sz w:val="20"/>
          <w:szCs w:val="16"/>
          <w:lang w:val="en"/>
        </w:rPr>
        <w:t>1 %</w:t>
      </w:r>
      <w:r w:rsidR="008337D0" w:rsidRPr="008337D0">
        <w:rPr>
          <w:rFonts w:asciiTheme="majorBidi" w:hAnsiTheme="majorBidi" w:cstheme="majorBidi"/>
          <w:color w:val="222222"/>
          <w:sz w:val="20"/>
          <w:szCs w:val="16"/>
          <w:lang w:val="en"/>
        </w:rPr>
        <w:t>.</w:t>
      </w:r>
    </w:p>
    <w:p w14:paraId="3D8CBAA3" w14:textId="77777777" w:rsidR="000B2FD9" w:rsidRDefault="000B2FD9" w:rsidP="002945F6">
      <w:pPr>
        <w:jc w:val="both"/>
        <w:rPr>
          <w:sz w:val="20"/>
        </w:rPr>
      </w:pPr>
    </w:p>
    <w:p w14:paraId="5AE0C99E" w14:textId="77777777" w:rsidR="00457897" w:rsidRDefault="00457897" w:rsidP="002945F6">
      <w:pPr>
        <w:jc w:val="both"/>
        <w:rPr>
          <w:sz w:val="20"/>
        </w:rPr>
      </w:pPr>
    </w:p>
    <w:p w14:paraId="2B671964" w14:textId="3BBB7ABD" w:rsidR="00FC6E9D" w:rsidRPr="00B45E05" w:rsidRDefault="00F863AF" w:rsidP="00B45E05">
      <w:pPr>
        <w:jc w:val="both"/>
        <w:rPr>
          <w:sz w:val="20"/>
        </w:rPr>
      </w:pPr>
      <w:r>
        <w:rPr>
          <w:noProof/>
          <w:sz w:val="20"/>
          <w:lang w:val="pt-PT" w:eastAsia="pt-PT"/>
        </w:rPr>
        <w:drawing>
          <wp:inline distT="0" distB="0" distL="0" distR="0" wp14:anchorId="38480689" wp14:editId="55D048E8">
            <wp:extent cx="2869521" cy="1724891"/>
            <wp:effectExtent l="0" t="0" r="762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8799" cy="1724457"/>
                    </a:xfrm>
                    <a:prstGeom prst="rect">
                      <a:avLst/>
                    </a:prstGeom>
                    <a:noFill/>
                  </pic:spPr>
                </pic:pic>
              </a:graphicData>
            </a:graphic>
          </wp:inline>
        </w:drawing>
      </w:r>
    </w:p>
    <w:p w14:paraId="6C8FB6FC" w14:textId="3346EC06" w:rsidR="002945F6" w:rsidRPr="008B1BEB" w:rsidRDefault="002945F6" w:rsidP="002945F6">
      <w:pPr>
        <w:pStyle w:val="Cabealho1"/>
        <w:rPr>
          <w:b w:val="0"/>
          <w:color w:val="FF0000"/>
          <w:sz w:val="16"/>
          <w:lang w:val="en-US"/>
        </w:rPr>
      </w:pPr>
      <w:r w:rsidRPr="008B1BEB">
        <w:rPr>
          <w:sz w:val="16"/>
          <w:lang w:val="en-US"/>
        </w:rPr>
        <w:t>Figure 3:</w:t>
      </w:r>
      <w:r w:rsidRPr="008B1BEB">
        <w:rPr>
          <w:lang w:val="en-US"/>
        </w:rPr>
        <w:t xml:space="preserve"> </w:t>
      </w:r>
      <w:r w:rsidR="00EC46CC">
        <w:rPr>
          <w:b w:val="0"/>
          <w:sz w:val="16"/>
          <w:lang w:val="en-US"/>
        </w:rPr>
        <w:t>F</w:t>
      </w:r>
      <w:r w:rsidR="00F97F5E" w:rsidRPr="008B1BEB">
        <w:rPr>
          <w:b w:val="0"/>
          <w:sz w:val="16"/>
          <w:lang w:val="en-US"/>
        </w:rPr>
        <w:t>low measurement</w:t>
      </w:r>
      <w:r w:rsidRPr="008B1BEB">
        <w:rPr>
          <w:b w:val="0"/>
          <w:sz w:val="16"/>
          <w:lang w:val="en-US"/>
        </w:rPr>
        <w:t xml:space="preserve"> results</w:t>
      </w:r>
      <w:r w:rsidR="00B45E05">
        <w:rPr>
          <w:b w:val="0"/>
          <w:sz w:val="16"/>
          <w:lang w:val="en-US"/>
        </w:rPr>
        <w:t xml:space="preserve"> for a syringe pump at 10 ml/h</w:t>
      </w:r>
      <w:r w:rsidR="009F1661" w:rsidRPr="008B1BEB">
        <w:rPr>
          <w:b w:val="0"/>
          <w:sz w:val="16"/>
          <w:lang w:val="en-US"/>
        </w:rPr>
        <w:t xml:space="preserve">. </w:t>
      </w:r>
    </w:p>
    <w:p w14:paraId="21034B13" w14:textId="77777777" w:rsidR="00FA5BEB" w:rsidRPr="008B1BEB" w:rsidRDefault="00FA5BEB" w:rsidP="00FC6E9D">
      <w:pPr>
        <w:rPr>
          <w:lang w:val="en-US"/>
        </w:rPr>
      </w:pPr>
    </w:p>
    <w:p w14:paraId="1663DEA3" w14:textId="77777777" w:rsidR="004D1A84" w:rsidRPr="008F6231" w:rsidRDefault="00FC6E9D" w:rsidP="008F6231">
      <w:pPr>
        <w:pStyle w:val="Cabealho1"/>
      </w:pPr>
      <w:r>
        <w:t>4</w:t>
      </w:r>
      <w:r w:rsidR="008F6231" w:rsidRPr="008F6231">
        <w:t xml:space="preserve">. </w:t>
      </w:r>
      <w:r w:rsidR="00851EBC">
        <w:t>Evaluation of measurement uncertainty</w:t>
      </w:r>
    </w:p>
    <w:p w14:paraId="1060D8AD" w14:textId="77777777" w:rsidR="008F6231" w:rsidRPr="008F6231" w:rsidRDefault="008F6231" w:rsidP="008F6231"/>
    <w:p w14:paraId="6E6526EF" w14:textId="42D96FF5" w:rsidR="00CC101B" w:rsidRDefault="00CC101B" w:rsidP="00CC101B">
      <w:pPr>
        <w:jc w:val="both"/>
        <w:rPr>
          <w:sz w:val="20"/>
        </w:rPr>
      </w:pPr>
      <w:r w:rsidRPr="00CC101B">
        <w:rPr>
          <w:sz w:val="20"/>
        </w:rPr>
        <w:t>The uncertainty of the gravimetric method</w:t>
      </w:r>
      <w:r w:rsidR="007D2F6F">
        <w:rPr>
          <w:sz w:val="20"/>
        </w:rPr>
        <w:t xml:space="preserve"> </w:t>
      </w:r>
      <w:r w:rsidRPr="00CC101B">
        <w:rPr>
          <w:sz w:val="20"/>
        </w:rPr>
        <w:t xml:space="preserve">used for flow </w:t>
      </w:r>
      <w:r w:rsidR="009F1661">
        <w:rPr>
          <w:sz w:val="20"/>
        </w:rPr>
        <w:t>(</w:t>
      </w:r>
      <w:r w:rsidR="00A7622D" w:rsidRPr="00262AE5">
        <w:rPr>
          <w:i/>
          <w:sz w:val="20"/>
        </w:rPr>
        <w:t>Q</w:t>
      </w:r>
      <w:r w:rsidR="009F1661">
        <w:rPr>
          <w:sz w:val="20"/>
        </w:rPr>
        <w:t xml:space="preserve">) </w:t>
      </w:r>
      <w:r w:rsidRPr="00CC101B">
        <w:rPr>
          <w:sz w:val="20"/>
        </w:rPr>
        <w:t xml:space="preserve">determination is estimated following the Guide </w:t>
      </w:r>
      <w:r w:rsidR="007D2F6F">
        <w:rPr>
          <w:sz w:val="20"/>
        </w:rPr>
        <w:t>t</w:t>
      </w:r>
      <w:r w:rsidRPr="00CC101B">
        <w:rPr>
          <w:sz w:val="20"/>
        </w:rPr>
        <w:t xml:space="preserve">o the </w:t>
      </w:r>
      <w:r w:rsidR="007D2F6F">
        <w:rPr>
          <w:sz w:val="20"/>
        </w:rPr>
        <w:t>E</w:t>
      </w:r>
      <w:r w:rsidRPr="00CC101B">
        <w:rPr>
          <w:sz w:val="20"/>
        </w:rPr>
        <w:t>xpression of Uncertainty in Measurement (G</w:t>
      </w:r>
      <w:r>
        <w:rPr>
          <w:sz w:val="20"/>
        </w:rPr>
        <w:t>UM) [</w:t>
      </w:r>
      <w:r w:rsidR="00D075D7">
        <w:rPr>
          <w:sz w:val="20"/>
        </w:rPr>
        <w:t>10</w:t>
      </w:r>
      <w:r w:rsidRPr="00CC101B">
        <w:rPr>
          <w:sz w:val="20"/>
        </w:rPr>
        <w:t xml:space="preserve">]. </w:t>
      </w:r>
    </w:p>
    <w:p w14:paraId="3993809B" w14:textId="77777777" w:rsidR="00CC101B" w:rsidRPr="00CC101B" w:rsidRDefault="00CC101B" w:rsidP="00CC101B">
      <w:pPr>
        <w:jc w:val="both"/>
        <w:rPr>
          <w:sz w:val="20"/>
        </w:rPr>
      </w:pPr>
    </w:p>
    <w:p w14:paraId="6AB995CB" w14:textId="41CBC04B" w:rsidR="00BC1ABE" w:rsidRDefault="004D1A84" w:rsidP="004D1A84">
      <w:pPr>
        <w:jc w:val="both"/>
        <w:rPr>
          <w:sz w:val="20"/>
        </w:rPr>
      </w:pPr>
      <w:r w:rsidRPr="008F6231">
        <w:rPr>
          <w:sz w:val="20"/>
        </w:rPr>
        <w:t xml:space="preserve">The main </w:t>
      </w:r>
      <w:r w:rsidR="00ED26DE">
        <w:rPr>
          <w:sz w:val="20"/>
        </w:rPr>
        <w:t>contribution for the standard uncertainty of</w:t>
      </w:r>
      <w:r w:rsidRPr="008F6231">
        <w:rPr>
          <w:sz w:val="20"/>
        </w:rPr>
        <w:t xml:space="preserve"> </w:t>
      </w:r>
      <w:r w:rsidR="008F6231" w:rsidRPr="008F6231">
        <w:rPr>
          <w:sz w:val="20"/>
        </w:rPr>
        <w:t>gravimetric method</w:t>
      </w:r>
      <w:r w:rsidRPr="008F6231">
        <w:rPr>
          <w:sz w:val="20"/>
        </w:rPr>
        <w:t xml:space="preserve"> </w:t>
      </w:r>
      <w:r w:rsidR="00ED26DE">
        <w:rPr>
          <w:sz w:val="20"/>
        </w:rPr>
        <w:t>for calibration of infusion pumps are</w:t>
      </w:r>
      <w:r w:rsidRPr="008F6231">
        <w:rPr>
          <w:sz w:val="20"/>
        </w:rPr>
        <w:t>: mass measurements (</w:t>
      </w:r>
      <w:r w:rsidRPr="00D075D7">
        <w:rPr>
          <w:i/>
          <w:sz w:val="20"/>
        </w:rPr>
        <w:t>m</w:t>
      </w:r>
      <w:r w:rsidRPr="008F6231">
        <w:rPr>
          <w:sz w:val="20"/>
        </w:rPr>
        <w:t xml:space="preserve">), density of the mass </w:t>
      </w:r>
      <w:r w:rsidR="00ED26DE">
        <w:rPr>
          <w:sz w:val="20"/>
        </w:rPr>
        <w:t>standards</w:t>
      </w:r>
      <w:r w:rsidR="00ED26DE" w:rsidRPr="008F6231">
        <w:rPr>
          <w:sz w:val="20"/>
        </w:rPr>
        <w:t xml:space="preserve"> </w:t>
      </w:r>
      <w:r w:rsidRPr="008F6231">
        <w:rPr>
          <w:sz w:val="20"/>
        </w:rPr>
        <w:t>(</w:t>
      </w:r>
      <w:r w:rsidRPr="008F6231">
        <w:rPr>
          <w:i/>
          <w:sz w:val="20"/>
        </w:rPr>
        <w:t>ρ</w:t>
      </w:r>
      <w:r w:rsidRPr="008F6231">
        <w:rPr>
          <w:i/>
          <w:sz w:val="20"/>
          <w:vertAlign w:val="subscript"/>
        </w:rPr>
        <w:t>B</w:t>
      </w:r>
      <w:r w:rsidRPr="008F6231">
        <w:rPr>
          <w:sz w:val="20"/>
        </w:rPr>
        <w:t>), density of the water (</w:t>
      </w:r>
      <w:r w:rsidRPr="008F6231">
        <w:rPr>
          <w:i/>
          <w:sz w:val="20"/>
        </w:rPr>
        <w:t>ρ</w:t>
      </w:r>
      <w:r w:rsidRPr="008F6231">
        <w:rPr>
          <w:i/>
          <w:sz w:val="20"/>
          <w:vertAlign w:val="subscript"/>
        </w:rPr>
        <w:t>W</w:t>
      </w:r>
      <w:r w:rsidRPr="008F6231">
        <w:rPr>
          <w:sz w:val="20"/>
        </w:rPr>
        <w:t>), density of the air (</w:t>
      </w:r>
      <w:r w:rsidRPr="008F6231">
        <w:rPr>
          <w:i/>
          <w:sz w:val="20"/>
        </w:rPr>
        <w:t>ρ</w:t>
      </w:r>
      <w:r w:rsidRPr="008F6231">
        <w:rPr>
          <w:i/>
          <w:sz w:val="20"/>
          <w:vertAlign w:val="subscript"/>
        </w:rPr>
        <w:t>A</w:t>
      </w:r>
      <w:r w:rsidRPr="008F6231">
        <w:rPr>
          <w:sz w:val="20"/>
        </w:rPr>
        <w:t>), evaporation rate (</w:t>
      </w:r>
      <w:r w:rsidRPr="008F6231">
        <w:rPr>
          <w:i/>
          <w:sz w:val="20"/>
        </w:rPr>
        <w:t>δQevap</w:t>
      </w:r>
      <w:r w:rsidRPr="008F6231">
        <w:rPr>
          <w:sz w:val="20"/>
        </w:rPr>
        <w:t>), water temperature (</w:t>
      </w:r>
      <w:r w:rsidRPr="008F6231">
        <w:rPr>
          <w:i/>
          <w:sz w:val="20"/>
        </w:rPr>
        <w:t>T</w:t>
      </w:r>
      <w:r w:rsidRPr="008F6231">
        <w:rPr>
          <w:sz w:val="20"/>
        </w:rPr>
        <w:t>), time (</w:t>
      </w:r>
      <w:r w:rsidRPr="008F6231">
        <w:rPr>
          <w:i/>
          <w:sz w:val="20"/>
        </w:rPr>
        <w:t>t</w:t>
      </w:r>
      <w:r w:rsidRPr="008F6231">
        <w:rPr>
          <w:sz w:val="20"/>
        </w:rPr>
        <w:t>), expansion coefficient</w:t>
      </w:r>
      <w:r w:rsidR="00ED26DE">
        <w:rPr>
          <w:sz w:val="20"/>
        </w:rPr>
        <w:t xml:space="preserve"> </w:t>
      </w:r>
      <w:r w:rsidR="00262AE5" w:rsidRPr="008B1BEB">
        <w:rPr>
          <w:sz w:val="20"/>
        </w:rPr>
        <w:t xml:space="preserve">of the </w:t>
      </w:r>
      <w:r w:rsidR="006E08BC">
        <w:rPr>
          <w:sz w:val="20"/>
        </w:rPr>
        <w:t xml:space="preserve">disposable </w:t>
      </w:r>
      <w:r w:rsidR="00262AE5" w:rsidRPr="008B1BEB">
        <w:rPr>
          <w:sz w:val="20"/>
        </w:rPr>
        <w:t>syringe</w:t>
      </w:r>
      <w:r w:rsidRPr="008B1BEB">
        <w:rPr>
          <w:sz w:val="20"/>
        </w:rPr>
        <w:t xml:space="preserve"> </w:t>
      </w:r>
      <w:r w:rsidRPr="008F6231">
        <w:rPr>
          <w:sz w:val="20"/>
        </w:rPr>
        <w:t>(</w:t>
      </w:r>
      <w:r w:rsidRPr="008F6231">
        <w:rPr>
          <w:rFonts w:ascii="Symbol" w:hAnsi="Symbol"/>
          <w:i/>
          <w:sz w:val="20"/>
        </w:rPr>
        <w:t></w:t>
      </w:r>
      <w:r w:rsidRPr="008F6231">
        <w:rPr>
          <w:sz w:val="20"/>
        </w:rPr>
        <w:t>), standard deviation of the measurements (</w:t>
      </w:r>
      <w:r w:rsidRPr="008F6231">
        <w:rPr>
          <w:i/>
          <w:sz w:val="20"/>
        </w:rPr>
        <w:t>δQrep</w:t>
      </w:r>
      <w:r w:rsidRPr="008F6231">
        <w:rPr>
          <w:sz w:val="20"/>
        </w:rPr>
        <w:t>) and buoyancy on the immersed dispensing needle (</w:t>
      </w:r>
      <w:r w:rsidRPr="008F6231">
        <w:rPr>
          <w:i/>
          <w:sz w:val="20"/>
        </w:rPr>
        <w:t>δQmbuo</w:t>
      </w:r>
      <w:r w:rsidRPr="008F6231">
        <w:rPr>
          <w:sz w:val="20"/>
        </w:rPr>
        <w:t>y)</w:t>
      </w:r>
      <w:r w:rsidR="009F1661">
        <w:rPr>
          <w:sz w:val="20"/>
        </w:rPr>
        <w:t xml:space="preserve"> (T</w:t>
      </w:r>
      <w:r w:rsidR="002548BB">
        <w:rPr>
          <w:sz w:val="20"/>
        </w:rPr>
        <w:t>able 1</w:t>
      </w:r>
      <w:r w:rsidR="009F1661">
        <w:rPr>
          <w:sz w:val="20"/>
        </w:rPr>
        <w:t>)</w:t>
      </w:r>
      <w:r w:rsidR="002548BB">
        <w:rPr>
          <w:sz w:val="20"/>
        </w:rPr>
        <w:t>.</w:t>
      </w:r>
      <w:r w:rsidRPr="008F6231">
        <w:rPr>
          <w:sz w:val="20"/>
        </w:rPr>
        <w:t xml:space="preserve"> </w:t>
      </w:r>
    </w:p>
    <w:p w14:paraId="6CB484A1" w14:textId="77777777" w:rsidR="00BC1ABE" w:rsidRDefault="00BC1ABE" w:rsidP="004D1A84">
      <w:pPr>
        <w:jc w:val="both"/>
        <w:rPr>
          <w:sz w:val="20"/>
        </w:rPr>
      </w:pPr>
    </w:p>
    <w:p w14:paraId="6451064D" w14:textId="77777777" w:rsidR="00BC1ABE" w:rsidRPr="00BC1ABE" w:rsidRDefault="00BC1ABE" w:rsidP="00BC1ABE">
      <w:pPr>
        <w:pStyle w:val="Corpodetexto"/>
        <w:jc w:val="left"/>
        <w:rPr>
          <w:sz w:val="16"/>
        </w:rPr>
      </w:pPr>
      <w:r w:rsidRPr="00FF2D4B">
        <w:rPr>
          <w:b/>
          <w:sz w:val="16"/>
        </w:rPr>
        <w:t>Table 1</w:t>
      </w:r>
      <w:r>
        <w:rPr>
          <w:b/>
          <w:sz w:val="16"/>
        </w:rPr>
        <w:t xml:space="preserve">: </w:t>
      </w:r>
      <w:r>
        <w:rPr>
          <w:sz w:val="16"/>
        </w:rPr>
        <w:t>Uncertainty components</w:t>
      </w:r>
    </w:p>
    <w:tbl>
      <w:tblPr>
        <w:tblW w:w="3908" w:type="dxa"/>
        <w:jc w:val="center"/>
        <w:tblLook w:val="04A0" w:firstRow="1" w:lastRow="0" w:firstColumn="1" w:lastColumn="0" w:noHBand="0" w:noVBand="1"/>
      </w:tblPr>
      <w:tblGrid>
        <w:gridCol w:w="963"/>
        <w:gridCol w:w="909"/>
        <w:gridCol w:w="870"/>
        <w:gridCol w:w="870"/>
        <w:gridCol w:w="948"/>
      </w:tblGrid>
      <w:tr w:rsidR="00BC1ABE" w:rsidRPr="00BC1ABE" w14:paraId="1D5902C9" w14:textId="77777777" w:rsidTr="00BC1ABE">
        <w:trPr>
          <w:jc w:val="center"/>
        </w:trPr>
        <w:tc>
          <w:tcPr>
            <w:tcW w:w="856" w:type="dxa"/>
            <w:tcBorders>
              <w:top w:val="single" w:sz="4" w:space="0" w:color="auto"/>
              <w:bottom w:val="single" w:sz="4" w:space="0" w:color="auto"/>
            </w:tcBorders>
            <w:shd w:val="clear" w:color="auto" w:fill="auto"/>
          </w:tcPr>
          <w:p w14:paraId="136BB4E2" w14:textId="77777777" w:rsidR="00BC1ABE" w:rsidRPr="00BC1ABE" w:rsidRDefault="00BC1ABE" w:rsidP="000B2FD9">
            <w:pPr>
              <w:jc w:val="center"/>
              <w:rPr>
                <w:sz w:val="14"/>
                <w:szCs w:val="14"/>
              </w:rPr>
            </w:pPr>
            <w:r w:rsidRPr="00BC1ABE">
              <w:rPr>
                <w:rFonts w:cs="Calibri"/>
                <w:b/>
                <w:bCs/>
                <w:color w:val="000000"/>
                <w:sz w:val="14"/>
                <w:szCs w:val="14"/>
                <w:lang w:eastAsia="pt-PT"/>
              </w:rPr>
              <w:t>Uncertainty components</w:t>
            </w:r>
          </w:p>
        </w:tc>
        <w:tc>
          <w:tcPr>
            <w:tcW w:w="810" w:type="dxa"/>
            <w:tcBorders>
              <w:top w:val="single" w:sz="4" w:space="0" w:color="auto"/>
              <w:bottom w:val="single" w:sz="4" w:space="0" w:color="auto"/>
            </w:tcBorders>
            <w:shd w:val="clear" w:color="auto" w:fill="auto"/>
          </w:tcPr>
          <w:p w14:paraId="2606EDB6" w14:textId="77777777" w:rsidR="00BC1ABE" w:rsidRPr="00BC1ABE" w:rsidRDefault="00BC1ABE" w:rsidP="000B2FD9">
            <w:pPr>
              <w:jc w:val="center"/>
              <w:rPr>
                <w:sz w:val="14"/>
                <w:szCs w:val="14"/>
              </w:rPr>
            </w:pPr>
            <w:r w:rsidRPr="00BC1ABE">
              <w:rPr>
                <w:rFonts w:cs="Calibri"/>
                <w:b/>
                <w:bCs/>
                <w:color w:val="000000"/>
                <w:sz w:val="14"/>
                <w:szCs w:val="14"/>
                <w:lang w:eastAsia="pt-PT"/>
              </w:rPr>
              <w:t>Standard uncertainty</w:t>
            </w:r>
          </w:p>
        </w:tc>
        <w:tc>
          <w:tcPr>
            <w:tcW w:w="903" w:type="dxa"/>
            <w:tcBorders>
              <w:top w:val="single" w:sz="4" w:space="0" w:color="auto"/>
              <w:bottom w:val="single" w:sz="4" w:space="0" w:color="auto"/>
            </w:tcBorders>
            <w:shd w:val="clear" w:color="auto" w:fill="auto"/>
          </w:tcPr>
          <w:p w14:paraId="72DA2E04" w14:textId="77777777" w:rsidR="00BC1ABE" w:rsidRPr="00BC1ABE" w:rsidRDefault="00BC1ABE" w:rsidP="000B2FD9">
            <w:pPr>
              <w:jc w:val="center"/>
              <w:rPr>
                <w:sz w:val="14"/>
                <w:szCs w:val="14"/>
              </w:rPr>
            </w:pPr>
            <w:r w:rsidRPr="00BC1ABE">
              <w:rPr>
                <w:rFonts w:cs="Calibri"/>
                <w:b/>
                <w:bCs/>
                <w:color w:val="000000"/>
                <w:sz w:val="14"/>
                <w:szCs w:val="14"/>
                <w:lang w:eastAsia="pt-PT"/>
              </w:rPr>
              <w:t>Evaluation process</w:t>
            </w:r>
          </w:p>
        </w:tc>
        <w:tc>
          <w:tcPr>
            <w:tcW w:w="777" w:type="dxa"/>
            <w:tcBorders>
              <w:top w:val="single" w:sz="4" w:space="0" w:color="auto"/>
              <w:bottom w:val="single" w:sz="4" w:space="0" w:color="auto"/>
            </w:tcBorders>
            <w:shd w:val="clear" w:color="auto" w:fill="auto"/>
          </w:tcPr>
          <w:p w14:paraId="3724338F" w14:textId="77777777" w:rsidR="00BC1ABE" w:rsidRPr="00BC1ABE" w:rsidRDefault="00BC1ABE" w:rsidP="000B2FD9">
            <w:pPr>
              <w:jc w:val="center"/>
              <w:rPr>
                <w:sz w:val="14"/>
                <w:szCs w:val="14"/>
              </w:rPr>
            </w:pPr>
            <w:r w:rsidRPr="00BC1ABE">
              <w:rPr>
                <w:rFonts w:cs="Calibri"/>
                <w:b/>
                <w:bCs/>
                <w:color w:val="000000"/>
                <w:sz w:val="14"/>
                <w:szCs w:val="14"/>
                <w:lang w:eastAsia="pt-PT"/>
              </w:rPr>
              <w:t>Evaluation type</w:t>
            </w:r>
          </w:p>
        </w:tc>
        <w:tc>
          <w:tcPr>
            <w:tcW w:w="562" w:type="dxa"/>
            <w:tcBorders>
              <w:top w:val="single" w:sz="4" w:space="0" w:color="auto"/>
              <w:bottom w:val="single" w:sz="4" w:space="0" w:color="auto"/>
            </w:tcBorders>
            <w:shd w:val="clear" w:color="auto" w:fill="auto"/>
          </w:tcPr>
          <w:p w14:paraId="02DAC234" w14:textId="77777777" w:rsidR="00BC1ABE" w:rsidRPr="00BC1ABE" w:rsidRDefault="00BC1ABE" w:rsidP="000B2FD9">
            <w:pPr>
              <w:jc w:val="center"/>
              <w:rPr>
                <w:sz w:val="14"/>
                <w:szCs w:val="14"/>
              </w:rPr>
            </w:pPr>
            <w:r w:rsidRPr="00BC1ABE">
              <w:rPr>
                <w:rFonts w:cs="Calibri"/>
                <w:b/>
                <w:bCs/>
                <w:color w:val="000000"/>
                <w:sz w:val="14"/>
                <w:szCs w:val="14"/>
                <w:lang w:eastAsia="pt-PT"/>
              </w:rPr>
              <w:t>Distribution</w:t>
            </w:r>
          </w:p>
        </w:tc>
      </w:tr>
      <w:tr w:rsidR="00BC1ABE" w:rsidRPr="00BC1ABE" w14:paraId="0E989562" w14:textId="77777777" w:rsidTr="00BC1ABE">
        <w:trPr>
          <w:jc w:val="center"/>
        </w:trPr>
        <w:tc>
          <w:tcPr>
            <w:tcW w:w="856" w:type="dxa"/>
            <w:tcBorders>
              <w:top w:val="single" w:sz="4" w:space="0" w:color="auto"/>
            </w:tcBorders>
            <w:shd w:val="clear" w:color="auto" w:fill="auto"/>
          </w:tcPr>
          <w:p w14:paraId="7ACC8DD8" w14:textId="77777777" w:rsidR="00BC1ABE" w:rsidRPr="00BC1ABE" w:rsidRDefault="00BC1ABE" w:rsidP="000B2FD9">
            <w:pPr>
              <w:jc w:val="center"/>
              <w:rPr>
                <w:sz w:val="14"/>
                <w:szCs w:val="14"/>
              </w:rPr>
            </w:pPr>
            <w:r w:rsidRPr="00BC1ABE">
              <w:rPr>
                <w:rFonts w:cs="Calibri"/>
                <w:bCs/>
                <w:color w:val="000000"/>
                <w:sz w:val="14"/>
                <w:szCs w:val="14"/>
                <w:lang w:eastAsia="pt-PT"/>
              </w:rPr>
              <w:t>Final mass</w:t>
            </w:r>
          </w:p>
        </w:tc>
        <w:tc>
          <w:tcPr>
            <w:tcW w:w="810" w:type="dxa"/>
            <w:tcBorders>
              <w:top w:val="single" w:sz="4" w:space="0" w:color="auto"/>
            </w:tcBorders>
            <w:shd w:val="clear" w:color="auto" w:fill="auto"/>
          </w:tcPr>
          <w:p w14:paraId="146A8A7D" w14:textId="77777777" w:rsidR="00BC1ABE" w:rsidRPr="00BC1ABE" w:rsidRDefault="00BC1ABE" w:rsidP="000B2FD9">
            <w:pPr>
              <w:jc w:val="center"/>
              <w:rPr>
                <w:sz w:val="14"/>
                <w:szCs w:val="14"/>
              </w:rPr>
            </w:pPr>
            <w:r w:rsidRPr="00BC1ABE">
              <w:rPr>
                <w:i/>
                <w:sz w:val="14"/>
                <w:szCs w:val="14"/>
              </w:rPr>
              <w:t>u</w:t>
            </w:r>
            <w:r w:rsidRPr="00BC1ABE">
              <w:rPr>
                <w:sz w:val="14"/>
                <w:szCs w:val="14"/>
              </w:rPr>
              <w:t>(</w:t>
            </w:r>
            <w:r w:rsidRPr="00BC1ABE">
              <w:rPr>
                <w:i/>
                <w:sz w:val="14"/>
                <w:szCs w:val="14"/>
              </w:rPr>
              <w:t>I</w:t>
            </w:r>
            <w:r w:rsidRPr="00BC1ABE">
              <w:rPr>
                <w:sz w:val="14"/>
                <w:szCs w:val="14"/>
                <w:vertAlign w:val="subscript"/>
              </w:rPr>
              <w:t>L</w:t>
            </w:r>
            <w:r w:rsidRPr="00BC1ABE">
              <w:rPr>
                <w:sz w:val="14"/>
                <w:szCs w:val="14"/>
              </w:rPr>
              <w:t>)</w:t>
            </w:r>
          </w:p>
        </w:tc>
        <w:tc>
          <w:tcPr>
            <w:tcW w:w="903" w:type="dxa"/>
            <w:tcBorders>
              <w:top w:val="single" w:sz="4" w:space="0" w:color="auto"/>
            </w:tcBorders>
            <w:shd w:val="clear" w:color="auto" w:fill="auto"/>
          </w:tcPr>
          <w:p w14:paraId="564F89FE" w14:textId="77777777" w:rsidR="00BC1ABE" w:rsidRPr="00BC1ABE" w:rsidRDefault="00BC1ABE" w:rsidP="000B2FD9">
            <w:pPr>
              <w:jc w:val="center"/>
              <w:rPr>
                <w:sz w:val="14"/>
                <w:szCs w:val="14"/>
              </w:rPr>
            </w:pPr>
            <w:r w:rsidRPr="00BC1ABE">
              <w:rPr>
                <w:rFonts w:cs="Calibri"/>
                <w:color w:val="000000"/>
                <w:sz w:val="14"/>
                <w:szCs w:val="14"/>
                <w:lang w:eastAsia="pt-PT"/>
              </w:rPr>
              <w:t>Calibration certificate</w:t>
            </w:r>
          </w:p>
        </w:tc>
        <w:tc>
          <w:tcPr>
            <w:tcW w:w="777" w:type="dxa"/>
            <w:tcBorders>
              <w:top w:val="single" w:sz="4" w:space="0" w:color="auto"/>
            </w:tcBorders>
            <w:shd w:val="clear" w:color="auto" w:fill="auto"/>
          </w:tcPr>
          <w:p w14:paraId="446DB209" w14:textId="77777777" w:rsidR="00BC1ABE" w:rsidRPr="00BC1ABE" w:rsidRDefault="00BC1ABE" w:rsidP="000B2FD9">
            <w:pPr>
              <w:jc w:val="center"/>
              <w:rPr>
                <w:sz w:val="14"/>
                <w:szCs w:val="14"/>
              </w:rPr>
            </w:pPr>
            <w:r w:rsidRPr="00BC1ABE">
              <w:rPr>
                <w:rFonts w:cs="Calibri"/>
                <w:color w:val="000000"/>
                <w:sz w:val="14"/>
                <w:szCs w:val="14"/>
                <w:lang w:eastAsia="pt-PT"/>
              </w:rPr>
              <w:t>B</w:t>
            </w:r>
          </w:p>
        </w:tc>
        <w:tc>
          <w:tcPr>
            <w:tcW w:w="562" w:type="dxa"/>
            <w:tcBorders>
              <w:top w:val="single" w:sz="4" w:space="0" w:color="auto"/>
            </w:tcBorders>
            <w:shd w:val="clear" w:color="auto" w:fill="auto"/>
          </w:tcPr>
          <w:p w14:paraId="3F53D82A" w14:textId="77777777" w:rsidR="00BC1ABE" w:rsidRPr="00BC1ABE" w:rsidRDefault="00BC1ABE" w:rsidP="000B2FD9">
            <w:pPr>
              <w:jc w:val="center"/>
              <w:rPr>
                <w:sz w:val="14"/>
                <w:szCs w:val="14"/>
              </w:rPr>
            </w:pPr>
            <w:r w:rsidRPr="00BC1ABE">
              <w:rPr>
                <w:rFonts w:cs="Calibri"/>
                <w:color w:val="000000"/>
                <w:sz w:val="14"/>
                <w:szCs w:val="14"/>
                <w:lang w:eastAsia="pt-PT"/>
              </w:rPr>
              <w:t>Normal</w:t>
            </w:r>
          </w:p>
        </w:tc>
      </w:tr>
      <w:tr w:rsidR="00BC1ABE" w:rsidRPr="00BC1ABE" w14:paraId="7F213486" w14:textId="77777777" w:rsidTr="00BC1ABE">
        <w:trPr>
          <w:jc w:val="center"/>
        </w:trPr>
        <w:tc>
          <w:tcPr>
            <w:tcW w:w="856" w:type="dxa"/>
            <w:shd w:val="clear" w:color="auto" w:fill="auto"/>
          </w:tcPr>
          <w:p w14:paraId="0EA78714" w14:textId="77777777" w:rsidR="00BC1ABE" w:rsidRPr="00BC1ABE" w:rsidRDefault="00BC1ABE" w:rsidP="000B2FD9">
            <w:pPr>
              <w:jc w:val="center"/>
              <w:rPr>
                <w:sz w:val="14"/>
                <w:szCs w:val="14"/>
              </w:rPr>
            </w:pPr>
            <w:r w:rsidRPr="00BC1ABE">
              <w:rPr>
                <w:rFonts w:cs="Calibri"/>
                <w:bCs/>
                <w:color w:val="000000"/>
                <w:sz w:val="14"/>
                <w:szCs w:val="14"/>
                <w:lang w:eastAsia="pt-PT"/>
              </w:rPr>
              <w:t>Initial mass</w:t>
            </w:r>
          </w:p>
        </w:tc>
        <w:tc>
          <w:tcPr>
            <w:tcW w:w="810" w:type="dxa"/>
            <w:shd w:val="clear" w:color="auto" w:fill="auto"/>
          </w:tcPr>
          <w:p w14:paraId="4BF5BFC4" w14:textId="77777777" w:rsidR="00BC1ABE" w:rsidRPr="00BC1ABE" w:rsidRDefault="00BC1ABE" w:rsidP="000B2FD9">
            <w:pPr>
              <w:jc w:val="center"/>
              <w:rPr>
                <w:sz w:val="14"/>
                <w:szCs w:val="14"/>
              </w:rPr>
            </w:pPr>
            <w:r w:rsidRPr="00BC1ABE">
              <w:rPr>
                <w:i/>
                <w:sz w:val="14"/>
                <w:szCs w:val="14"/>
              </w:rPr>
              <w:t>u</w:t>
            </w:r>
            <w:r w:rsidRPr="00BC1ABE">
              <w:rPr>
                <w:sz w:val="14"/>
                <w:szCs w:val="14"/>
              </w:rPr>
              <w:t>(</w:t>
            </w:r>
            <w:r w:rsidRPr="00BC1ABE">
              <w:rPr>
                <w:i/>
                <w:sz w:val="14"/>
                <w:szCs w:val="14"/>
              </w:rPr>
              <w:t>I</w:t>
            </w:r>
            <w:r w:rsidRPr="00BC1ABE">
              <w:rPr>
                <w:sz w:val="14"/>
                <w:szCs w:val="14"/>
                <w:vertAlign w:val="subscript"/>
              </w:rPr>
              <w:t>E</w:t>
            </w:r>
            <w:r w:rsidRPr="00BC1ABE">
              <w:rPr>
                <w:sz w:val="14"/>
                <w:szCs w:val="14"/>
              </w:rPr>
              <w:t>)</w:t>
            </w:r>
          </w:p>
        </w:tc>
        <w:tc>
          <w:tcPr>
            <w:tcW w:w="903" w:type="dxa"/>
            <w:shd w:val="clear" w:color="auto" w:fill="auto"/>
          </w:tcPr>
          <w:p w14:paraId="2DCA9034" w14:textId="77777777" w:rsidR="00BC1ABE" w:rsidRPr="00BC1ABE" w:rsidRDefault="00BC1ABE" w:rsidP="000B2FD9">
            <w:pPr>
              <w:jc w:val="center"/>
              <w:rPr>
                <w:sz w:val="14"/>
                <w:szCs w:val="14"/>
              </w:rPr>
            </w:pPr>
            <w:r w:rsidRPr="00BC1ABE">
              <w:rPr>
                <w:rFonts w:cs="Calibri"/>
                <w:color w:val="000000"/>
                <w:sz w:val="14"/>
                <w:szCs w:val="14"/>
                <w:lang w:eastAsia="pt-PT"/>
              </w:rPr>
              <w:t>Calibration certificate</w:t>
            </w:r>
          </w:p>
        </w:tc>
        <w:tc>
          <w:tcPr>
            <w:tcW w:w="777" w:type="dxa"/>
            <w:shd w:val="clear" w:color="auto" w:fill="auto"/>
          </w:tcPr>
          <w:p w14:paraId="4F0AF81A" w14:textId="77777777" w:rsidR="00BC1ABE" w:rsidRPr="00BC1ABE" w:rsidRDefault="00BC1ABE" w:rsidP="000B2FD9">
            <w:pPr>
              <w:jc w:val="center"/>
              <w:rPr>
                <w:sz w:val="14"/>
                <w:szCs w:val="14"/>
              </w:rPr>
            </w:pPr>
            <w:r w:rsidRPr="00BC1ABE">
              <w:rPr>
                <w:rFonts w:cs="Calibri"/>
                <w:color w:val="000000"/>
                <w:sz w:val="14"/>
                <w:szCs w:val="14"/>
                <w:lang w:eastAsia="pt-PT"/>
              </w:rPr>
              <w:t>B</w:t>
            </w:r>
          </w:p>
        </w:tc>
        <w:tc>
          <w:tcPr>
            <w:tcW w:w="562" w:type="dxa"/>
            <w:shd w:val="clear" w:color="auto" w:fill="auto"/>
          </w:tcPr>
          <w:p w14:paraId="72DCD5C8" w14:textId="77777777" w:rsidR="00BC1ABE" w:rsidRPr="00BC1ABE" w:rsidRDefault="00BC1ABE" w:rsidP="000B2FD9">
            <w:pPr>
              <w:jc w:val="center"/>
              <w:rPr>
                <w:sz w:val="14"/>
                <w:szCs w:val="14"/>
              </w:rPr>
            </w:pPr>
            <w:r w:rsidRPr="00BC1ABE">
              <w:rPr>
                <w:rFonts w:cs="Calibri"/>
                <w:color w:val="000000"/>
                <w:sz w:val="14"/>
                <w:szCs w:val="14"/>
                <w:lang w:eastAsia="pt-PT"/>
              </w:rPr>
              <w:t>Normal</w:t>
            </w:r>
          </w:p>
        </w:tc>
      </w:tr>
      <w:tr w:rsidR="00BC1ABE" w:rsidRPr="00BC1ABE" w14:paraId="28AAD035" w14:textId="77777777" w:rsidTr="00BC1ABE">
        <w:trPr>
          <w:jc w:val="center"/>
        </w:trPr>
        <w:tc>
          <w:tcPr>
            <w:tcW w:w="856" w:type="dxa"/>
            <w:shd w:val="clear" w:color="auto" w:fill="auto"/>
          </w:tcPr>
          <w:p w14:paraId="37E8F3B6" w14:textId="77777777" w:rsidR="00BC1ABE" w:rsidRPr="00BC1ABE" w:rsidRDefault="00BC1ABE" w:rsidP="000B2FD9">
            <w:pPr>
              <w:jc w:val="center"/>
              <w:rPr>
                <w:sz w:val="14"/>
                <w:szCs w:val="14"/>
              </w:rPr>
            </w:pPr>
            <w:r w:rsidRPr="00BC1ABE">
              <w:rPr>
                <w:rFonts w:cs="Calibri"/>
                <w:bCs/>
                <w:color w:val="000000"/>
                <w:sz w:val="14"/>
                <w:szCs w:val="14"/>
                <w:lang w:eastAsia="pt-PT"/>
              </w:rPr>
              <w:t>Density of the water</w:t>
            </w:r>
          </w:p>
        </w:tc>
        <w:tc>
          <w:tcPr>
            <w:tcW w:w="810" w:type="dxa"/>
            <w:shd w:val="clear" w:color="auto" w:fill="auto"/>
          </w:tcPr>
          <w:p w14:paraId="7EDA70D8" w14:textId="77777777" w:rsidR="00BC1ABE" w:rsidRPr="00BC1ABE" w:rsidRDefault="00BC1ABE" w:rsidP="000B2FD9">
            <w:pPr>
              <w:jc w:val="center"/>
              <w:rPr>
                <w:sz w:val="14"/>
                <w:szCs w:val="14"/>
              </w:rPr>
            </w:pPr>
            <w:r w:rsidRPr="00BC1ABE">
              <w:rPr>
                <w:i/>
                <w:sz w:val="14"/>
                <w:szCs w:val="14"/>
              </w:rPr>
              <w:t>u</w:t>
            </w:r>
            <w:r w:rsidRPr="00BC1ABE">
              <w:rPr>
                <w:sz w:val="14"/>
                <w:szCs w:val="14"/>
              </w:rPr>
              <w:t>(</w:t>
            </w:r>
            <w:r w:rsidRPr="00BC1ABE">
              <w:rPr>
                <w:rFonts w:ascii="Symbol" w:hAnsi="Symbol"/>
                <w:i/>
                <w:sz w:val="14"/>
                <w:szCs w:val="14"/>
              </w:rPr>
              <w:t></w:t>
            </w:r>
            <w:r w:rsidRPr="00BC1ABE">
              <w:rPr>
                <w:sz w:val="14"/>
                <w:szCs w:val="14"/>
                <w:vertAlign w:val="subscript"/>
              </w:rPr>
              <w:t>W</w:t>
            </w:r>
            <w:r w:rsidRPr="00BC1ABE">
              <w:rPr>
                <w:sz w:val="14"/>
                <w:szCs w:val="14"/>
              </w:rPr>
              <w:t>)</w:t>
            </w:r>
          </w:p>
        </w:tc>
        <w:tc>
          <w:tcPr>
            <w:tcW w:w="903" w:type="dxa"/>
            <w:shd w:val="clear" w:color="auto" w:fill="auto"/>
          </w:tcPr>
          <w:p w14:paraId="1D28059B" w14:textId="77777777" w:rsidR="00BC1ABE" w:rsidRPr="00BC1ABE" w:rsidRDefault="005E225E" w:rsidP="000B2FD9">
            <w:pPr>
              <w:jc w:val="center"/>
              <w:rPr>
                <w:sz w:val="14"/>
                <w:szCs w:val="14"/>
              </w:rPr>
            </w:pPr>
            <w:r>
              <w:rPr>
                <w:rFonts w:cs="Calibri"/>
                <w:color w:val="000000"/>
                <w:sz w:val="14"/>
                <w:szCs w:val="14"/>
                <w:lang w:eastAsia="pt-PT"/>
              </w:rPr>
              <w:t>Calibration certificate</w:t>
            </w:r>
          </w:p>
        </w:tc>
        <w:tc>
          <w:tcPr>
            <w:tcW w:w="777" w:type="dxa"/>
            <w:shd w:val="clear" w:color="auto" w:fill="auto"/>
          </w:tcPr>
          <w:p w14:paraId="236BDDF5" w14:textId="77777777" w:rsidR="00BC1ABE" w:rsidRPr="00BC1ABE" w:rsidRDefault="005E225E" w:rsidP="000B2FD9">
            <w:pPr>
              <w:jc w:val="center"/>
              <w:rPr>
                <w:sz w:val="14"/>
                <w:szCs w:val="14"/>
              </w:rPr>
            </w:pPr>
            <w:r>
              <w:rPr>
                <w:rFonts w:cs="Calibri"/>
                <w:color w:val="000000"/>
                <w:sz w:val="14"/>
                <w:szCs w:val="14"/>
                <w:lang w:eastAsia="pt-PT"/>
              </w:rPr>
              <w:t>B</w:t>
            </w:r>
          </w:p>
        </w:tc>
        <w:tc>
          <w:tcPr>
            <w:tcW w:w="562" w:type="dxa"/>
            <w:shd w:val="clear" w:color="auto" w:fill="auto"/>
          </w:tcPr>
          <w:p w14:paraId="7C2EC0E3" w14:textId="77777777" w:rsidR="00BC1ABE" w:rsidRPr="00BC1ABE" w:rsidRDefault="005E225E" w:rsidP="000B2FD9">
            <w:pPr>
              <w:jc w:val="center"/>
              <w:rPr>
                <w:sz w:val="14"/>
                <w:szCs w:val="14"/>
              </w:rPr>
            </w:pPr>
            <w:r>
              <w:rPr>
                <w:rFonts w:cs="Calibri"/>
                <w:color w:val="000000"/>
                <w:sz w:val="14"/>
                <w:szCs w:val="14"/>
                <w:lang w:eastAsia="pt-PT"/>
              </w:rPr>
              <w:t>Normal</w:t>
            </w:r>
          </w:p>
        </w:tc>
      </w:tr>
      <w:tr w:rsidR="00BC1ABE" w:rsidRPr="00BC1ABE" w14:paraId="280407B7" w14:textId="77777777" w:rsidTr="00BC1ABE">
        <w:trPr>
          <w:jc w:val="center"/>
        </w:trPr>
        <w:tc>
          <w:tcPr>
            <w:tcW w:w="856" w:type="dxa"/>
            <w:shd w:val="clear" w:color="auto" w:fill="auto"/>
          </w:tcPr>
          <w:p w14:paraId="3C0251F4" w14:textId="77777777" w:rsidR="00BC1ABE" w:rsidRPr="00BC1ABE" w:rsidRDefault="00BC1ABE" w:rsidP="000B2FD9">
            <w:pPr>
              <w:jc w:val="center"/>
              <w:rPr>
                <w:sz w:val="14"/>
                <w:szCs w:val="14"/>
              </w:rPr>
            </w:pPr>
            <w:r w:rsidRPr="00BC1ABE">
              <w:rPr>
                <w:rFonts w:cs="Calibri"/>
                <w:bCs/>
                <w:color w:val="000000"/>
                <w:sz w:val="14"/>
                <w:szCs w:val="14"/>
                <w:lang w:eastAsia="pt-PT"/>
              </w:rPr>
              <w:t>Density of the air</w:t>
            </w:r>
          </w:p>
        </w:tc>
        <w:tc>
          <w:tcPr>
            <w:tcW w:w="810" w:type="dxa"/>
            <w:shd w:val="clear" w:color="auto" w:fill="auto"/>
          </w:tcPr>
          <w:p w14:paraId="400EC92B" w14:textId="77777777" w:rsidR="00BC1ABE" w:rsidRPr="00BC1ABE" w:rsidRDefault="00BC1ABE" w:rsidP="000B2FD9">
            <w:pPr>
              <w:jc w:val="center"/>
              <w:rPr>
                <w:sz w:val="14"/>
                <w:szCs w:val="14"/>
              </w:rPr>
            </w:pPr>
            <w:r w:rsidRPr="00BC1ABE">
              <w:rPr>
                <w:i/>
                <w:sz w:val="14"/>
                <w:szCs w:val="14"/>
              </w:rPr>
              <w:t>u</w:t>
            </w:r>
            <w:r w:rsidRPr="00BC1ABE">
              <w:rPr>
                <w:sz w:val="14"/>
                <w:szCs w:val="14"/>
              </w:rPr>
              <w:t>(</w:t>
            </w:r>
            <w:r w:rsidRPr="00BC1ABE">
              <w:rPr>
                <w:rFonts w:ascii="Symbol" w:hAnsi="Symbol"/>
                <w:i/>
                <w:sz w:val="14"/>
                <w:szCs w:val="14"/>
              </w:rPr>
              <w:t></w:t>
            </w:r>
            <w:r w:rsidRPr="00BC1ABE">
              <w:rPr>
                <w:sz w:val="14"/>
                <w:szCs w:val="14"/>
                <w:vertAlign w:val="subscript"/>
              </w:rPr>
              <w:t>A</w:t>
            </w:r>
            <w:r w:rsidRPr="00BC1ABE">
              <w:rPr>
                <w:sz w:val="14"/>
                <w:szCs w:val="14"/>
              </w:rPr>
              <w:t>)</w:t>
            </w:r>
          </w:p>
        </w:tc>
        <w:tc>
          <w:tcPr>
            <w:tcW w:w="903" w:type="dxa"/>
            <w:shd w:val="clear" w:color="auto" w:fill="auto"/>
          </w:tcPr>
          <w:p w14:paraId="1248540F" w14:textId="77777777" w:rsidR="00BC1ABE" w:rsidRPr="00BC1ABE" w:rsidRDefault="00BC1ABE" w:rsidP="000B2FD9">
            <w:pPr>
              <w:jc w:val="center"/>
              <w:rPr>
                <w:sz w:val="14"/>
                <w:szCs w:val="14"/>
              </w:rPr>
            </w:pPr>
            <w:r w:rsidRPr="00BC1ABE">
              <w:rPr>
                <w:rFonts w:cs="Calibri"/>
                <w:color w:val="000000"/>
                <w:sz w:val="14"/>
                <w:szCs w:val="14"/>
                <w:lang w:eastAsia="pt-PT"/>
              </w:rPr>
              <w:t>Literature</w:t>
            </w:r>
          </w:p>
        </w:tc>
        <w:tc>
          <w:tcPr>
            <w:tcW w:w="777" w:type="dxa"/>
            <w:shd w:val="clear" w:color="auto" w:fill="auto"/>
          </w:tcPr>
          <w:p w14:paraId="7BCD8A54" w14:textId="77777777" w:rsidR="00BC1ABE" w:rsidRPr="00BC1ABE" w:rsidRDefault="00BC1ABE" w:rsidP="000B2FD9">
            <w:pPr>
              <w:jc w:val="center"/>
              <w:rPr>
                <w:sz w:val="14"/>
                <w:szCs w:val="14"/>
              </w:rPr>
            </w:pPr>
            <w:r w:rsidRPr="00BC1ABE">
              <w:rPr>
                <w:rFonts w:cs="Calibri"/>
                <w:color w:val="000000"/>
                <w:sz w:val="14"/>
                <w:szCs w:val="14"/>
                <w:lang w:eastAsia="pt-PT"/>
              </w:rPr>
              <w:t>B</w:t>
            </w:r>
          </w:p>
        </w:tc>
        <w:tc>
          <w:tcPr>
            <w:tcW w:w="562" w:type="dxa"/>
            <w:shd w:val="clear" w:color="auto" w:fill="auto"/>
          </w:tcPr>
          <w:p w14:paraId="1740B247" w14:textId="77777777" w:rsidR="00BC1ABE" w:rsidRPr="00BC1ABE" w:rsidRDefault="00BC1ABE" w:rsidP="000B2FD9">
            <w:pPr>
              <w:jc w:val="center"/>
              <w:rPr>
                <w:sz w:val="14"/>
                <w:szCs w:val="14"/>
              </w:rPr>
            </w:pPr>
            <w:r w:rsidRPr="00BC1ABE">
              <w:rPr>
                <w:rFonts w:cs="Calibri"/>
                <w:color w:val="000000"/>
                <w:sz w:val="14"/>
                <w:szCs w:val="14"/>
                <w:lang w:eastAsia="pt-PT"/>
              </w:rPr>
              <w:t>Rectangular</w:t>
            </w:r>
          </w:p>
        </w:tc>
      </w:tr>
      <w:tr w:rsidR="00BC1ABE" w:rsidRPr="00BC1ABE" w14:paraId="5310C544" w14:textId="77777777" w:rsidTr="00BC1ABE">
        <w:trPr>
          <w:jc w:val="center"/>
        </w:trPr>
        <w:tc>
          <w:tcPr>
            <w:tcW w:w="856" w:type="dxa"/>
            <w:shd w:val="clear" w:color="auto" w:fill="auto"/>
          </w:tcPr>
          <w:p w14:paraId="3DA8BA9E" w14:textId="77777777" w:rsidR="00BC1ABE" w:rsidRPr="00BC1ABE" w:rsidRDefault="00BC1ABE" w:rsidP="000B2FD9">
            <w:pPr>
              <w:jc w:val="center"/>
              <w:rPr>
                <w:sz w:val="14"/>
                <w:szCs w:val="14"/>
              </w:rPr>
            </w:pPr>
            <w:r w:rsidRPr="00BC1ABE">
              <w:rPr>
                <w:rFonts w:cs="Calibri"/>
                <w:bCs/>
                <w:color w:val="000000"/>
                <w:sz w:val="14"/>
                <w:szCs w:val="14"/>
                <w:lang w:eastAsia="pt-PT"/>
              </w:rPr>
              <w:t>Density of the mass pieces</w:t>
            </w:r>
          </w:p>
        </w:tc>
        <w:tc>
          <w:tcPr>
            <w:tcW w:w="810" w:type="dxa"/>
            <w:shd w:val="clear" w:color="auto" w:fill="auto"/>
          </w:tcPr>
          <w:p w14:paraId="0D0C0FA6" w14:textId="77777777" w:rsidR="00BC1ABE" w:rsidRPr="00BC1ABE" w:rsidRDefault="00BC1ABE" w:rsidP="000B2FD9">
            <w:pPr>
              <w:jc w:val="center"/>
              <w:rPr>
                <w:sz w:val="14"/>
                <w:szCs w:val="14"/>
              </w:rPr>
            </w:pPr>
            <w:r w:rsidRPr="00BC1ABE">
              <w:rPr>
                <w:i/>
                <w:sz w:val="14"/>
                <w:szCs w:val="14"/>
              </w:rPr>
              <w:t>u</w:t>
            </w:r>
            <w:r w:rsidRPr="00BC1ABE">
              <w:rPr>
                <w:sz w:val="14"/>
                <w:szCs w:val="14"/>
              </w:rPr>
              <w:t>(</w:t>
            </w:r>
            <w:r w:rsidRPr="00BC1ABE">
              <w:rPr>
                <w:rFonts w:ascii="Symbol" w:hAnsi="Symbol"/>
                <w:i/>
                <w:sz w:val="14"/>
                <w:szCs w:val="14"/>
              </w:rPr>
              <w:t></w:t>
            </w:r>
            <w:r w:rsidRPr="00BC1ABE">
              <w:rPr>
                <w:sz w:val="14"/>
                <w:szCs w:val="14"/>
                <w:vertAlign w:val="subscript"/>
              </w:rPr>
              <w:t>B</w:t>
            </w:r>
            <w:r w:rsidRPr="00BC1ABE">
              <w:rPr>
                <w:sz w:val="14"/>
                <w:szCs w:val="14"/>
              </w:rPr>
              <w:t>)</w:t>
            </w:r>
          </w:p>
        </w:tc>
        <w:tc>
          <w:tcPr>
            <w:tcW w:w="903" w:type="dxa"/>
            <w:shd w:val="clear" w:color="auto" w:fill="auto"/>
          </w:tcPr>
          <w:p w14:paraId="22C11B63" w14:textId="77777777" w:rsidR="00BC1ABE" w:rsidRPr="00BC1ABE" w:rsidRDefault="00BC1ABE" w:rsidP="000B2FD9">
            <w:pPr>
              <w:jc w:val="center"/>
              <w:rPr>
                <w:sz w:val="14"/>
                <w:szCs w:val="14"/>
              </w:rPr>
            </w:pPr>
            <w:r w:rsidRPr="00BC1ABE">
              <w:rPr>
                <w:rFonts w:cs="Calibri"/>
                <w:color w:val="000000"/>
                <w:sz w:val="14"/>
                <w:szCs w:val="14"/>
                <w:lang w:eastAsia="pt-PT"/>
              </w:rPr>
              <w:t>Calibration certificate</w:t>
            </w:r>
          </w:p>
        </w:tc>
        <w:tc>
          <w:tcPr>
            <w:tcW w:w="777" w:type="dxa"/>
            <w:shd w:val="clear" w:color="auto" w:fill="auto"/>
          </w:tcPr>
          <w:p w14:paraId="654474C3" w14:textId="77777777" w:rsidR="00BC1ABE" w:rsidRPr="00BC1ABE" w:rsidRDefault="00BC1ABE" w:rsidP="000B2FD9">
            <w:pPr>
              <w:jc w:val="center"/>
              <w:rPr>
                <w:sz w:val="14"/>
                <w:szCs w:val="14"/>
              </w:rPr>
            </w:pPr>
            <w:r w:rsidRPr="00BC1ABE">
              <w:rPr>
                <w:rFonts w:cs="Calibri"/>
                <w:color w:val="000000"/>
                <w:sz w:val="14"/>
                <w:szCs w:val="14"/>
                <w:lang w:eastAsia="pt-PT"/>
              </w:rPr>
              <w:t>B</w:t>
            </w:r>
          </w:p>
        </w:tc>
        <w:tc>
          <w:tcPr>
            <w:tcW w:w="562" w:type="dxa"/>
            <w:shd w:val="clear" w:color="auto" w:fill="auto"/>
          </w:tcPr>
          <w:p w14:paraId="0E4047D7" w14:textId="77777777" w:rsidR="00BC1ABE" w:rsidRPr="00BC1ABE" w:rsidRDefault="00BC1ABE" w:rsidP="000B2FD9">
            <w:pPr>
              <w:jc w:val="center"/>
              <w:rPr>
                <w:sz w:val="14"/>
                <w:szCs w:val="14"/>
              </w:rPr>
            </w:pPr>
            <w:r w:rsidRPr="00BC1ABE">
              <w:rPr>
                <w:rFonts w:cs="Calibri"/>
                <w:color w:val="000000"/>
                <w:sz w:val="14"/>
                <w:szCs w:val="14"/>
                <w:lang w:eastAsia="pt-PT"/>
              </w:rPr>
              <w:t>Rectangular</w:t>
            </w:r>
          </w:p>
        </w:tc>
      </w:tr>
      <w:tr w:rsidR="00BC1ABE" w:rsidRPr="00BC1ABE" w14:paraId="301A0B12" w14:textId="77777777" w:rsidTr="00BC1ABE">
        <w:trPr>
          <w:jc w:val="center"/>
        </w:trPr>
        <w:tc>
          <w:tcPr>
            <w:tcW w:w="856" w:type="dxa"/>
            <w:shd w:val="clear" w:color="auto" w:fill="auto"/>
          </w:tcPr>
          <w:p w14:paraId="456CAA74" w14:textId="77777777" w:rsidR="00BC1ABE" w:rsidRPr="00BC1ABE" w:rsidRDefault="00BC1ABE" w:rsidP="000B2FD9">
            <w:pPr>
              <w:jc w:val="center"/>
              <w:rPr>
                <w:sz w:val="14"/>
                <w:szCs w:val="14"/>
              </w:rPr>
            </w:pPr>
            <w:r w:rsidRPr="00BC1ABE">
              <w:rPr>
                <w:rFonts w:cs="Calibri"/>
                <w:bCs/>
                <w:color w:val="000000"/>
                <w:sz w:val="14"/>
                <w:szCs w:val="14"/>
                <w:lang w:eastAsia="pt-PT"/>
              </w:rPr>
              <w:t>Temperature</w:t>
            </w:r>
          </w:p>
        </w:tc>
        <w:tc>
          <w:tcPr>
            <w:tcW w:w="810" w:type="dxa"/>
            <w:shd w:val="clear" w:color="auto" w:fill="auto"/>
          </w:tcPr>
          <w:p w14:paraId="74D3FB6E" w14:textId="77777777" w:rsidR="00BC1ABE" w:rsidRPr="00BC1ABE" w:rsidRDefault="00BC1ABE" w:rsidP="000B2FD9">
            <w:pPr>
              <w:jc w:val="center"/>
              <w:rPr>
                <w:sz w:val="14"/>
                <w:szCs w:val="14"/>
              </w:rPr>
            </w:pPr>
            <w:r w:rsidRPr="00BC1ABE">
              <w:rPr>
                <w:i/>
                <w:sz w:val="14"/>
                <w:szCs w:val="14"/>
              </w:rPr>
              <w:t>u</w:t>
            </w:r>
            <w:r w:rsidRPr="00BC1ABE">
              <w:rPr>
                <w:sz w:val="14"/>
                <w:szCs w:val="14"/>
              </w:rPr>
              <w:t>(</w:t>
            </w:r>
            <w:r w:rsidRPr="00BC1ABE">
              <w:rPr>
                <w:i/>
                <w:sz w:val="14"/>
                <w:szCs w:val="14"/>
              </w:rPr>
              <w:t>T</w:t>
            </w:r>
            <w:r w:rsidRPr="00BC1ABE">
              <w:rPr>
                <w:sz w:val="14"/>
                <w:szCs w:val="14"/>
              </w:rPr>
              <w:t>)</w:t>
            </w:r>
          </w:p>
        </w:tc>
        <w:tc>
          <w:tcPr>
            <w:tcW w:w="903" w:type="dxa"/>
            <w:shd w:val="clear" w:color="auto" w:fill="auto"/>
          </w:tcPr>
          <w:p w14:paraId="03619C42" w14:textId="77777777" w:rsidR="00BC1ABE" w:rsidRPr="00BC1ABE" w:rsidRDefault="00BC1ABE" w:rsidP="000B2FD9">
            <w:pPr>
              <w:jc w:val="center"/>
              <w:rPr>
                <w:sz w:val="14"/>
                <w:szCs w:val="14"/>
              </w:rPr>
            </w:pPr>
            <w:r w:rsidRPr="00BC1ABE">
              <w:rPr>
                <w:rFonts w:cs="Calibri"/>
                <w:color w:val="000000"/>
                <w:sz w:val="14"/>
                <w:szCs w:val="14"/>
                <w:lang w:eastAsia="pt-PT"/>
              </w:rPr>
              <w:t>Calibration certificate</w:t>
            </w:r>
          </w:p>
        </w:tc>
        <w:tc>
          <w:tcPr>
            <w:tcW w:w="777" w:type="dxa"/>
            <w:shd w:val="clear" w:color="auto" w:fill="auto"/>
          </w:tcPr>
          <w:p w14:paraId="52B435AA" w14:textId="77777777" w:rsidR="00BC1ABE" w:rsidRPr="00BC1ABE" w:rsidRDefault="00BC1ABE" w:rsidP="000B2FD9">
            <w:pPr>
              <w:jc w:val="center"/>
              <w:rPr>
                <w:sz w:val="14"/>
                <w:szCs w:val="14"/>
              </w:rPr>
            </w:pPr>
            <w:r w:rsidRPr="00BC1ABE">
              <w:rPr>
                <w:rFonts w:cs="Calibri"/>
                <w:color w:val="000000"/>
                <w:sz w:val="14"/>
                <w:szCs w:val="14"/>
                <w:lang w:eastAsia="pt-PT"/>
              </w:rPr>
              <w:t>B</w:t>
            </w:r>
          </w:p>
        </w:tc>
        <w:tc>
          <w:tcPr>
            <w:tcW w:w="562" w:type="dxa"/>
            <w:shd w:val="clear" w:color="auto" w:fill="auto"/>
          </w:tcPr>
          <w:p w14:paraId="667BA29B" w14:textId="77777777" w:rsidR="00BC1ABE" w:rsidRPr="00BC1ABE" w:rsidRDefault="00BC1ABE" w:rsidP="000B2FD9">
            <w:pPr>
              <w:jc w:val="center"/>
              <w:rPr>
                <w:sz w:val="14"/>
                <w:szCs w:val="14"/>
              </w:rPr>
            </w:pPr>
            <w:r w:rsidRPr="00BC1ABE">
              <w:rPr>
                <w:rFonts w:cs="Calibri"/>
                <w:color w:val="000000"/>
                <w:sz w:val="14"/>
                <w:szCs w:val="14"/>
                <w:lang w:eastAsia="pt-PT"/>
              </w:rPr>
              <w:t>Normal</w:t>
            </w:r>
          </w:p>
        </w:tc>
      </w:tr>
      <w:tr w:rsidR="00BC1ABE" w:rsidRPr="00BC1ABE" w14:paraId="2D1E546A" w14:textId="77777777" w:rsidTr="00BC1ABE">
        <w:trPr>
          <w:jc w:val="center"/>
        </w:trPr>
        <w:tc>
          <w:tcPr>
            <w:tcW w:w="856" w:type="dxa"/>
            <w:shd w:val="clear" w:color="auto" w:fill="auto"/>
          </w:tcPr>
          <w:p w14:paraId="7227878E" w14:textId="77777777" w:rsidR="00BC1ABE" w:rsidRPr="00BC1ABE" w:rsidRDefault="00BC1ABE" w:rsidP="000B2FD9">
            <w:pPr>
              <w:jc w:val="center"/>
              <w:rPr>
                <w:sz w:val="14"/>
                <w:szCs w:val="14"/>
              </w:rPr>
            </w:pPr>
            <w:r w:rsidRPr="00BC1ABE">
              <w:rPr>
                <w:rFonts w:cs="Calibri"/>
                <w:bCs/>
                <w:color w:val="000000"/>
                <w:sz w:val="14"/>
                <w:szCs w:val="14"/>
                <w:lang w:eastAsia="pt-PT"/>
              </w:rPr>
              <w:t>Expansion coefficient</w:t>
            </w:r>
          </w:p>
        </w:tc>
        <w:tc>
          <w:tcPr>
            <w:tcW w:w="810" w:type="dxa"/>
            <w:shd w:val="clear" w:color="auto" w:fill="auto"/>
          </w:tcPr>
          <w:p w14:paraId="71884081" w14:textId="77777777" w:rsidR="00BC1ABE" w:rsidRPr="00BC1ABE" w:rsidRDefault="00BC1ABE" w:rsidP="000B2FD9">
            <w:pPr>
              <w:jc w:val="center"/>
              <w:rPr>
                <w:sz w:val="14"/>
                <w:szCs w:val="14"/>
              </w:rPr>
            </w:pPr>
            <w:r w:rsidRPr="00BC1ABE">
              <w:rPr>
                <w:i/>
                <w:sz w:val="14"/>
                <w:szCs w:val="14"/>
              </w:rPr>
              <w:t>u</w:t>
            </w:r>
            <w:r w:rsidRPr="00BC1ABE">
              <w:rPr>
                <w:sz w:val="14"/>
                <w:szCs w:val="14"/>
              </w:rPr>
              <w:t>(</w:t>
            </w:r>
            <w:r w:rsidRPr="00BC1ABE">
              <w:rPr>
                <w:rFonts w:ascii="Symbol" w:hAnsi="Symbol"/>
                <w:i/>
                <w:sz w:val="14"/>
                <w:szCs w:val="14"/>
              </w:rPr>
              <w:t></w:t>
            </w:r>
            <w:r w:rsidRPr="00BC1ABE">
              <w:rPr>
                <w:sz w:val="14"/>
                <w:szCs w:val="14"/>
              </w:rPr>
              <w:t>)</w:t>
            </w:r>
          </w:p>
        </w:tc>
        <w:tc>
          <w:tcPr>
            <w:tcW w:w="903" w:type="dxa"/>
            <w:shd w:val="clear" w:color="auto" w:fill="auto"/>
          </w:tcPr>
          <w:p w14:paraId="131F80B0" w14:textId="77777777" w:rsidR="00BC1ABE" w:rsidRPr="00BC1ABE" w:rsidRDefault="00BC1ABE" w:rsidP="000B2FD9">
            <w:pPr>
              <w:jc w:val="center"/>
              <w:rPr>
                <w:sz w:val="14"/>
                <w:szCs w:val="14"/>
              </w:rPr>
            </w:pPr>
            <w:r w:rsidRPr="00BC1ABE">
              <w:rPr>
                <w:rFonts w:cs="Calibri"/>
                <w:color w:val="000000"/>
                <w:sz w:val="14"/>
                <w:szCs w:val="14"/>
                <w:lang w:eastAsia="pt-PT"/>
              </w:rPr>
              <w:t>Literature</w:t>
            </w:r>
          </w:p>
        </w:tc>
        <w:tc>
          <w:tcPr>
            <w:tcW w:w="777" w:type="dxa"/>
            <w:shd w:val="clear" w:color="auto" w:fill="auto"/>
          </w:tcPr>
          <w:p w14:paraId="3A98A21A" w14:textId="77777777" w:rsidR="00BC1ABE" w:rsidRPr="00BC1ABE" w:rsidRDefault="00BC1ABE" w:rsidP="000B2FD9">
            <w:pPr>
              <w:jc w:val="center"/>
              <w:rPr>
                <w:sz w:val="14"/>
                <w:szCs w:val="14"/>
              </w:rPr>
            </w:pPr>
            <w:r w:rsidRPr="00BC1ABE">
              <w:rPr>
                <w:rFonts w:cs="Calibri"/>
                <w:color w:val="000000"/>
                <w:sz w:val="14"/>
                <w:szCs w:val="14"/>
                <w:lang w:eastAsia="pt-PT"/>
              </w:rPr>
              <w:t>B</w:t>
            </w:r>
          </w:p>
        </w:tc>
        <w:tc>
          <w:tcPr>
            <w:tcW w:w="562" w:type="dxa"/>
            <w:shd w:val="clear" w:color="auto" w:fill="auto"/>
          </w:tcPr>
          <w:p w14:paraId="0C8F81D6" w14:textId="77777777" w:rsidR="00BC1ABE" w:rsidRPr="00BC1ABE" w:rsidRDefault="00BC1ABE" w:rsidP="000B2FD9">
            <w:pPr>
              <w:jc w:val="center"/>
              <w:rPr>
                <w:sz w:val="14"/>
                <w:szCs w:val="14"/>
              </w:rPr>
            </w:pPr>
            <w:r w:rsidRPr="00BC1ABE">
              <w:rPr>
                <w:rFonts w:cs="Calibri"/>
                <w:color w:val="000000"/>
                <w:sz w:val="14"/>
                <w:szCs w:val="14"/>
                <w:lang w:eastAsia="pt-PT"/>
              </w:rPr>
              <w:t>Rectangular</w:t>
            </w:r>
          </w:p>
        </w:tc>
      </w:tr>
      <w:tr w:rsidR="00BC1ABE" w:rsidRPr="00BC1ABE" w14:paraId="5C146D05" w14:textId="77777777" w:rsidTr="00BC1ABE">
        <w:trPr>
          <w:jc w:val="center"/>
        </w:trPr>
        <w:tc>
          <w:tcPr>
            <w:tcW w:w="856" w:type="dxa"/>
            <w:shd w:val="clear" w:color="auto" w:fill="auto"/>
          </w:tcPr>
          <w:p w14:paraId="7F99328E" w14:textId="77777777" w:rsidR="00BC1ABE" w:rsidRPr="00BC1ABE" w:rsidRDefault="00BC1ABE" w:rsidP="000B2FD9">
            <w:pPr>
              <w:jc w:val="center"/>
              <w:rPr>
                <w:rFonts w:cs="Calibri"/>
                <w:bCs/>
                <w:color w:val="000000"/>
                <w:sz w:val="14"/>
                <w:szCs w:val="14"/>
                <w:lang w:eastAsia="pt-PT"/>
              </w:rPr>
            </w:pPr>
            <w:r w:rsidRPr="00BC1ABE">
              <w:rPr>
                <w:rFonts w:cs="Calibri"/>
                <w:bCs/>
                <w:color w:val="000000"/>
                <w:sz w:val="14"/>
                <w:szCs w:val="14"/>
                <w:lang w:eastAsia="pt-PT"/>
              </w:rPr>
              <w:t>Evaporation</w:t>
            </w:r>
          </w:p>
        </w:tc>
        <w:tc>
          <w:tcPr>
            <w:tcW w:w="810" w:type="dxa"/>
            <w:shd w:val="clear" w:color="auto" w:fill="auto"/>
          </w:tcPr>
          <w:p w14:paraId="33357FCD" w14:textId="77777777" w:rsidR="00BC1ABE" w:rsidRPr="00BC1ABE" w:rsidRDefault="00BC1ABE" w:rsidP="000B2FD9">
            <w:pPr>
              <w:jc w:val="center"/>
              <w:rPr>
                <w:sz w:val="14"/>
                <w:szCs w:val="14"/>
                <w:lang w:eastAsia="pt-PT"/>
              </w:rPr>
            </w:pPr>
            <w:r w:rsidRPr="00BC1ABE">
              <w:rPr>
                <w:i/>
                <w:sz w:val="14"/>
                <w:szCs w:val="14"/>
              </w:rPr>
              <w:t>u</w:t>
            </w:r>
            <w:r w:rsidRPr="00BC1ABE">
              <w:rPr>
                <w:sz w:val="14"/>
                <w:szCs w:val="14"/>
              </w:rPr>
              <w:t>(</w:t>
            </w:r>
            <w:r w:rsidRPr="00BC1ABE">
              <w:rPr>
                <w:i/>
                <w:sz w:val="14"/>
                <w:szCs w:val="14"/>
              </w:rPr>
              <w:t>δQ</w:t>
            </w:r>
            <w:r w:rsidRPr="00BC1ABE">
              <w:rPr>
                <w:i/>
                <w:sz w:val="14"/>
                <w:szCs w:val="14"/>
                <w:vertAlign w:val="subscript"/>
              </w:rPr>
              <w:t>evap</w:t>
            </w:r>
            <w:r w:rsidRPr="00BC1ABE">
              <w:rPr>
                <w:sz w:val="14"/>
                <w:szCs w:val="14"/>
              </w:rPr>
              <w:t>)</w:t>
            </w:r>
          </w:p>
        </w:tc>
        <w:tc>
          <w:tcPr>
            <w:tcW w:w="903" w:type="dxa"/>
            <w:shd w:val="clear" w:color="auto" w:fill="auto"/>
          </w:tcPr>
          <w:p w14:paraId="2674AC06" w14:textId="77777777" w:rsidR="00BC1ABE" w:rsidRPr="00BC1ABE" w:rsidRDefault="00BC1ABE" w:rsidP="00851EBC">
            <w:pPr>
              <w:jc w:val="center"/>
              <w:rPr>
                <w:rFonts w:cs="Calibri"/>
                <w:color w:val="000000"/>
                <w:sz w:val="14"/>
                <w:szCs w:val="14"/>
                <w:lang w:eastAsia="pt-PT"/>
              </w:rPr>
            </w:pPr>
            <w:r w:rsidRPr="00BC1ABE">
              <w:rPr>
                <w:color w:val="000000"/>
                <w:sz w:val="14"/>
                <w:szCs w:val="14"/>
                <w:lang w:eastAsia="pt-PT"/>
              </w:rPr>
              <w:t xml:space="preserve">Standard deviation </w:t>
            </w:r>
          </w:p>
        </w:tc>
        <w:tc>
          <w:tcPr>
            <w:tcW w:w="777" w:type="dxa"/>
            <w:shd w:val="clear" w:color="auto" w:fill="auto"/>
          </w:tcPr>
          <w:p w14:paraId="64F81FC5"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A</w:t>
            </w:r>
          </w:p>
        </w:tc>
        <w:tc>
          <w:tcPr>
            <w:tcW w:w="562" w:type="dxa"/>
            <w:shd w:val="clear" w:color="auto" w:fill="auto"/>
          </w:tcPr>
          <w:p w14:paraId="1DE7AE3F"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Normal</w:t>
            </w:r>
          </w:p>
        </w:tc>
      </w:tr>
      <w:tr w:rsidR="00BC1ABE" w:rsidRPr="00BC1ABE" w14:paraId="453D7BE4" w14:textId="77777777" w:rsidTr="00BC1ABE">
        <w:trPr>
          <w:jc w:val="center"/>
        </w:trPr>
        <w:tc>
          <w:tcPr>
            <w:tcW w:w="856" w:type="dxa"/>
            <w:shd w:val="clear" w:color="auto" w:fill="auto"/>
          </w:tcPr>
          <w:p w14:paraId="16A73342" w14:textId="77777777" w:rsidR="00BC1ABE" w:rsidRPr="00BC1ABE" w:rsidRDefault="00BC1ABE" w:rsidP="000B2FD9">
            <w:pPr>
              <w:jc w:val="center"/>
              <w:rPr>
                <w:rFonts w:cs="Calibri"/>
                <w:bCs/>
                <w:color w:val="000000"/>
                <w:sz w:val="14"/>
                <w:szCs w:val="14"/>
                <w:lang w:eastAsia="pt-PT"/>
              </w:rPr>
            </w:pPr>
            <w:r w:rsidRPr="00BC1ABE">
              <w:rPr>
                <w:rFonts w:cs="Calibri"/>
                <w:bCs/>
                <w:color w:val="000000"/>
                <w:sz w:val="14"/>
                <w:szCs w:val="14"/>
                <w:lang w:eastAsia="pt-PT"/>
              </w:rPr>
              <w:t>Final time</w:t>
            </w:r>
          </w:p>
        </w:tc>
        <w:tc>
          <w:tcPr>
            <w:tcW w:w="810" w:type="dxa"/>
            <w:shd w:val="clear" w:color="auto" w:fill="auto"/>
          </w:tcPr>
          <w:p w14:paraId="276627AC" w14:textId="77777777" w:rsidR="00BC1ABE" w:rsidRPr="00BC1ABE" w:rsidRDefault="00BC1ABE" w:rsidP="000B2FD9">
            <w:pPr>
              <w:jc w:val="center"/>
              <w:rPr>
                <w:rFonts w:cs="Calibri"/>
                <w:sz w:val="14"/>
                <w:szCs w:val="14"/>
                <w:lang w:eastAsia="pt-PT"/>
              </w:rPr>
            </w:pPr>
            <w:r w:rsidRPr="00BC1ABE">
              <w:rPr>
                <w:i/>
                <w:sz w:val="14"/>
                <w:szCs w:val="14"/>
              </w:rPr>
              <w:t>u</w:t>
            </w:r>
            <w:r w:rsidRPr="00BC1ABE">
              <w:rPr>
                <w:sz w:val="14"/>
                <w:szCs w:val="14"/>
              </w:rPr>
              <w:t>(</w:t>
            </w:r>
            <w:r w:rsidRPr="00BC1ABE">
              <w:rPr>
                <w:i/>
                <w:sz w:val="14"/>
                <w:szCs w:val="14"/>
              </w:rPr>
              <w:t>t</w:t>
            </w:r>
            <w:r w:rsidRPr="00BC1ABE">
              <w:rPr>
                <w:sz w:val="14"/>
                <w:szCs w:val="14"/>
                <w:vertAlign w:val="subscript"/>
              </w:rPr>
              <w:t>f</w:t>
            </w:r>
            <w:r w:rsidRPr="00BC1ABE">
              <w:rPr>
                <w:sz w:val="14"/>
                <w:szCs w:val="14"/>
              </w:rPr>
              <w:t>)</w:t>
            </w:r>
          </w:p>
        </w:tc>
        <w:tc>
          <w:tcPr>
            <w:tcW w:w="903" w:type="dxa"/>
            <w:shd w:val="clear" w:color="auto" w:fill="auto"/>
          </w:tcPr>
          <w:p w14:paraId="150CA9E9"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Estimation</w:t>
            </w:r>
          </w:p>
          <w:p w14:paraId="21DEFA81"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 xml:space="preserve">(1 </w:t>
            </w:r>
            <w:r w:rsidRPr="00BC1ABE">
              <w:rPr>
                <w:rFonts w:ascii="Symbol" w:hAnsi="Symbol" w:cs="Calibri"/>
                <w:color w:val="000000"/>
                <w:sz w:val="14"/>
                <w:szCs w:val="14"/>
                <w:lang w:eastAsia="pt-PT"/>
              </w:rPr>
              <w:t></w:t>
            </w:r>
            <w:r w:rsidRPr="00BC1ABE">
              <w:rPr>
                <w:rFonts w:cs="Calibri"/>
                <w:color w:val="000000"/>
                <w:sz w:val="14"/>
                <w:szCs w:val="14"/>
                <w:lang w:eastAsia="pt-PT"/>
              </w:rPr>
              <w:t>s)</w:t>
            </w:r>
          </w:p>
        </w:tc>
        <w:tc>
          <w:tcPr>
            <w:tcW w:w="777" w:type="dxa"/>
            <w:shd w:val="clear" w:color="auto" w:fill="auto"/>
          </w:tcPr>
          <w:p w14:paraId="023CFCCF"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B</w:t>
            </w:r>
          </w:p>
        </w:tc>
        <w:tc>
          <w:tcPr>
            <w:tcW w:w="562" w:type="dxa"/>
            <w:shd w:val="clear" w:color="auto" w:fill="auto"/>
          </w:tcPr>
          <w:p w14:paraId="78BB51C9"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Rectangular</w:t>
            </w:r>
          </w:p>
        </w:tc>
      </w:tr>
      <w:tr w:rsidR="00BC1ABE" w:rsidRPr="00BC1ABE" w14:paraId="5D7EE34F" w14:textId="77777777" w:rsidTr="00BC1ABE">
        <w:trPr>
          <w:jc w:val="center"/>
        </w:trPr>
        <w:tc>
          <w:tcPr>
            <w:tcW w:w="856" w:type="dxa"/>
            <w:shd w:val="clear" w:color="auto" w:fill="auto"/>
          </w:tcPr>
          <w:p w14:paraId="62C6AB93" w14:textId="77777777" w:rsidR="00BC1ABE" w:rsidRPr="00BC1ABE" w:rsidRDefault="00BC1ABE" w:rsidP="000B2FD9">
            <w:pPr>
              <w:jc w:val="center"/>
              <w:rPr>
                <w:rFonts w:cs="Calibri"/>
                <w:bCs/>
                <w:color w:val="000000"/>
                <w:sz w:val="14"/>
                <w:szCs w:val="14"/>
                <w:lang w:eastAsia="pt-PT"/>
              </w:rPr>
            </w:pPr>
            <w:r w:rsidRPr="00BC1ABE">
              <w:rPr>
                <w:rFonts w:cs="Calibri"/>
                <w:bCs/>
                <w:color w:val="000000"/>
                <w:sz w:val="14"/>
                <w:szCs w:val="14"/>
                <w:lang w:eastAsia="pt-PT"/>
              </w:rPr>
              <w:t>Initial time</w:t>
            </w:r>
          </w:p>
        </w:tc>
        <w:tc>
          <w:tcPr>
            <w:tcW w:w="810" w:type="dxa"/>
            <w:shd w:val="clear" w:color="auto" w:fill="auto"/>
          </w:tcPr>
          <w:p w14:paraId="7AB106C2" w14:textId="77777777" w:rsidR="00BC1ABE" w:rsidRPr="00BC1ABE" w:rsidRDefault="00BC1ABE" w:rsidP="000B2FD9">
            <w:pPr>
              <w:jc w:val="center"/>
              <w:rPr>
                <w:rFonts w:cs="Calibri"/>
                <w:sz w:val="14"/>
                <w:szCs w:val="14"/>
                <w:lang w:eastAsia="pt-PT"/>
              </w:rPr>
            </w:pPr>
            <w:r w:rsidRPr="00BC1ABE">
              <w:rPr>
                <w:i/>
                <w:sz w:val="14"/>
                <w:szCs w:val="14"/>
              </w:rPr>
              <w:t>u</w:t>
            </w:r>
            <w:r w:rsidRPr="00BC1ABE">
              <w:rPr>
                <w:sz w:val="14"/>
                <w:szCs w:val="14"/>
              </w:rPr>
              <w:t>(</w:t>
            </w:r>
            <w:r w:rsidRPr="00BC1ABE">
              <w:rPr>
                <w:i/>
                <w:sz w:val="14"/>
                <w:szCs w:val="14"/>
              </w:rPr>
              <w:t>t</w:t>
            </w:r>
            <w:r w:rsidRPr="00BC1ABE">
              <w:rPr>
                <w:sz w:val="14"/>
                <w:szCs w:val="14"/>
                <w:vertAlign w:val="subscript"/>
              </w:rPr>
              <w:t>i</w:t>
            </w:r>
            <w:r w:rsidRPr="00BC1ABE">
              <w:rPr>
                <w:sz w:val="14"/>
                <w:szCs w:val="14"/>
              </w:rPr>
              <w:t>)</w:t>
            </w:r>
          </w:p>
        </w:tc>
        <w:tc>
          <w:tcPr>
            <w:tcW w:w="903" w:type="dxa"/>
            <w:shd w:val="clear" w:color="auto" w:fill="auto"/>
          </w:tcPr>
          <w:p w14:paraId="745D30F1"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Estimation</w:t>
            </w:r>
          </w:p>
          <w:p w14:paraId="362B801E"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 xml:space="preserve">(1 </w:t>
            </w:r>
            <w:r w:rsidRPr="00BC1ABE">
              <w:rPr>
                <w:rFonts w:ascii="Symbol" w:hAnsi="Symbol" w:cs="Calibri"/>
                <w:color w:val="000000"/>
                <w:sz w:val="14"/>
                <w:szCs w:val="14"/>
                <w:lang w:eastAsia="pt-PT"/>
              </w:rPr>
              <w:t></w:t>
            </w:r>
            <w:r w:rsidRPr="00BC1ABE">
              <w:rPr>
                <w:rFonts w:cs="Calibri"/>
                <w:color w:val="000000"/>
                <w:sz w:val="14"/>
                <w:szCs w:val="14"/>
                <w:lang w:eastAsia="pt-PT"/>
              </w:rPr>
              <w:t>s)</w:t>
            </w:r>
          </w:p>
        </w:tc>
        <w:tc>
          <w:tcPr>
            <w:tcW w:w="777" w:type="dxa"/>
            <w:shd w:val="clear" w:color="auto" w:fill="auto"/>
          </w:tcPr>
          <w:p w14:paraId="3DDECE66"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B</w:t>
            </w:r>
          </w:p>
        </w:tc>
        <w:tc>
          <w:tcPr>
            <w:tcW w:w="562" w:type="dxa"/>
            <w:shd w:val="clear" w:color="auto" w:fill="auto"/>
          </w:tcPr>
          <w:p w14:paraId="27A0EE2E"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Rectangular</w:t>
            </w:r>
          </w:p>
        </w:tc>
      </w:tr>
      <w:tr w:rsidR="00BC1ABE" w:rsidRPr="00BC1ABE" w14:paraId="5301275A" w14:textId="77777777" w:rsidTr="00BC1ABE">
        <w:trPr>
          <w:jc w:val="center"/>
        </w:trPr>
        <w:tc>
          <w:tcPr>
            <w:tcW w:w="856" w:type="dxa"/>
            <w:shd w:val="clear" w:color="auto" w:fill="auto"/>
          </w:tcPr>
          <w:p w14:paraId="67E33313" w14:textId="77777777" w:rsidR="00BC1ABE" w:rsidRPr="00BC1ABE" w:rsidRDefault="00BC1ABE" w:rsidP="000B2FD9">
            <w:pPr>
              <w:jc w:val="center"/>
              <w:rPr>
                <w:rFonts w:cs="Calibri"/>
                <w:bCs/>
                <w:color w:val="000000"/>
                <w:sz w:val="14"/>
                <w:szCs w:val="14"/>
                <w:lang w:eastAsia="pt-PT"/>
              </w:rPr>
            </w:pPr>
            <w:r w:rsidRPr="00BC1ABE">
              <w:rPr>
                <w:sz w:val="14"/>
                <w:szCs w:val="14"/>
              </w:rPr>
              <w:t>Buoyancy</w:t>
            </w:r>
          </w:p>
        </w:tc>
        <w:tc>
          <w:tcPr>
            <w:tcW w:w="810" w:type="dxa"/>
            <w:shd w:val="clear" w:color="auto" w:fill="auto"/>
          </w:tcPr>
          <w:p w14:paraId="122B56E4" w14:textId="77777777" w:rsidR="00BC1ABE" w:rsidRPr="00BC1ABE" w:rsidRDefault="00BC1ABE" w:rsidP="000B2FD9">
            <w:pPr>
              <w:jc w:val="center"/>
              <w:rPr>
                <w:rFonts w:cs="Calibri"/>
                <w:sz w:val="14"/>
                <w:szCs w:val="14"/>
                <w:lang w:eastAsia="pt-PT"/>
              </w:rPr>
            </w:pPr>
            <w:r w:rsidRPr="00BC1ABE">
              <w:rPr>
                <w:i/>
                <w:sz w:val="14"/>
                <w:szCs w:val="14"/>
              </w:rPr>
              <w:t>u</w:t>
            </w:r>
            <w:r w:rsidRPr="00BC1ABE">
              <w:rPr>
                <w:sz w:val="14"/>
                <w:szCs w:val="14"/>
              </w:rPr>
              <w:t>(</w:t>
            </w:r>
            <w:r w:rsidRPr="00BC1ABE">
              <w:rPr>
                <w:i/>
                <w:sz w:val="14"/>
                <w:szCs w:val="14"/>
              </w:rPr>
              <w:t>δQ</w:t>
            </w:r>
            <w:r w:rsidRPr="00BC1ABE">
              <w:rPr>
                <w:i/>
                <w:sz w:val="14"/>
                <w:szCs w:val="14"/>
                <w:vertAlign w:val="subscript"/>
              </w:rPr>
              <w:t>m</w:t>
            </w:r>
            <w:r w:rsidRPr="00BC1ABE">
              <w:rPr>
                <w:sz w:val="14"/>
                <w:szCs w:val="14"/>
                <w:vertAlign w:val="subscript"/>
              </w:rPr>
              <w:t>buoy</w:t>
            </w:r>
            <w:r w:rsidRPr="00BC1ABE">
              <w:rPr>
                <w:sz w:val="14"/>
                <w:szCs w:val="14"/>
              </w:rPr>
              <w:t>)</w:t>
            </w:r>
          </w:p>
        </w:tc>
        <w:tc>
          <w:tcPr>
            <w:tcW w:w="903" w:type="dxa"/>
            <w:shd w:val="clear" w:color="auto" w:fill="auto"/>
          </w:tcPr>
          <w:p w14:paraId="23B12D64"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Calibration certificate</w:t>
            </w:r>
          </w:p>
        </w:tc>
        <w:tc>
          <w:tcPr>
            <w:tcW w:w="777" w:type="dxa"/>
            <w:shd w:val="clear" w:color="auto" w:fill="auto"/>
          </w:tcPr>
          <w:p w14:paraId="5F271085"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B</w:t>
            </w:r>
          </w:p>
        </w:tc>
        <w:tc>
          <w:tcPr>
            <w:tcW w:w="562" w:type="dxa"/>
            <w:shd w:val="clear" w:color="auto" w:fill="auto"/>
          </w:tcPr>
          <w:p w14:paraId="78B1AB2F"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Normal</w:t>
            </w:r>
          </w:p>
        </w:tc>
      </w:tr>
      <w:tr w:rsidR="00BC1ABE" w:rsidRPr="00BC1ABE" w14:paraId="78E29D99" w14:textId="77777777" w:rsidTr="00851EBC">
        <w:trPr>
          <w:trHeight w:val="455"/>
          <w:jc w:val="center"/>
        </w:trPr>
        <w:tc>
          <w:tcPr>
            <w:tcW w:w="856" w:type="dxa"/>
            <w:tcBorders>
              <w:bottom w:val="single" w:sz="4" w:space="0" w:color="auto"/>
            </w:tcBorders>
            <w:shd w:val="clear" w:color="auto" w:fill="auto"/>
          </w:tcPr>
          <w:p w14:paraId="6E4F9C82" w14:textId="77777777" w:rsidR="00BC1ABE" w:rsidRPr="00BC1ABE" w:rsidRDefault="00BC1ABE" w:rsidP="000B2FD9">
            <w:pPr>
              <w:jc w:val="center"/>
              <w:rPr>
                <w:rFonts w:cs="Calibri"/>
                <w:bCs/>
                <w:color w:val="000000"/>
                <w:sz w:val="14"/>
                <w:szCs w:val="14"/>
                <w:lang w:eastAsia="pt-PT"/>
              </w:rPr>
            </w:pPr>
            <w:r w:rsidRPr="00BC1ABE">
              <w:rPr>
                <w:rFonts w:cs="Calibri"/>
                <w:bCs/>
                <w:color w:val="000000"/>
                <w:sz w:val="14"/>
                <w:szCs w:val="14"/>
                <w:lang w:eastAsia="pt-PT"/>
              </w:rPr>
              <w:t>Repeatability</w:t>
            </w:r>
          </w:p>
        </w:tc>
        <w:tc>
          <w:tcPr>
            <w:tcW w:w="810" w:type="dxa"/>
            <w:tcBorders>
              <w:bottom w:val="single" w:sz="4" w:space="0" w:color="auto"/>
            </w:tcBorders>
            <w:shd w:val="clear" w:color="auto" w:fill="auto"/>
          </w:tcPr>
          <w:p w14:paraId="7F3407E1" w14:textId="77777777" w:rsidR="00BC1ABE" w:rsidRPr="00BC1ABE" w:rsidRDefault="00BC1ABE" w:rsidP="000B2FD9">
            <w:pPr>
              <w:jc w:val="center"/>
              <w:rPr>
                <w:rFonts w:cs="Calibri"/>
                <w:sz w:val="14"/>
                <w:szCs w:val="14"/>
                <w:lang w:eastAsia="pt-PT"/>
              </w:rPr>
            </w:pPr>
            <w:r w:rsidRPr="00BC1ABE">
              <w:rPr>
                <w:i/>
                <w:color w:val="000000"/>
                <w:sz w:val="14"/>
                <w:szCs w:val="14"/>
              </w:rPr>
              <w:t>u</w:t>
            </w:r>
            <w:r w:rsidRPr="00BC1ABE">
              <w:rPr>
                <w:color w:val="000000"/>
                <w:sz w:val="14"/>
                <w:szCs w:val="14"/>
              </w:rPr>
              <w:t>(</w:t>
            </w:r>
            <w:r w:rsidRPr="00BC1ABE">
              <w:rPr>
                <w:i/>
                <w:sz w:val="14"/>
                <w:szCs w:val="14"/>
              </w:rPr>
              <w:t>δQ</w:t>
            </w:r>
            <w:r w:rsidRPr="00BC1ABE">
              <w:rPr>
                <w:color w:val="000000"/>
                <w:sz w:val="14"/>
                <w:szCs w:val="14"/>
                <w:vertAlign w:val="subscript"/>
              </w:rPr>
              <w:t>re</w:t>
            </w:r>
            <w:r w:rsidRPr="00BC1ABE">
              <w:rPr>
                <w:i/>
                <w:color w:val="000000"/>
                <w:sz w:val="14"/>
                <w:szCs w:val="14"/>
                <w:vertAlign w:val="subscript"/>
              </w:rPr>
              <w:t>p</w:t>
            </w:r>
            <w:r w:rsidRPr="00BC1ABE">
              <w:rPr>
                <w:color w:val="000000"/>
                <w:sz w:val="14"/>
                <w:szCs w:val="14"/>
              </w:rPr>
              <w:t>)</w:t>
            </w:r>
          </w:p>
        </w:tc>
        <w:tc>
          <w:tcPr>
            <w:tcW w:w="903" w:type="dxa"/>
            <w:tcBorders>
              <w:bottom w:val="single" w:sz="4" w:space="0" w:color="auto"/>
            </w:tcBorders>
            <w:shd w:val="clear" w:color="auto" w:fill="auto"/>
          </w:tcPr>
          <w:p w14:paraId="0A1F4F3C" w14:textId="77777777" w:rsidR="00BC1ABE" w:rsidRPr="00BC1ABE" w:rsidRDefault="00851EBC" w:rsidP="00851EBC">
            <w:pPr>
              <w:jc w:val="center"/>
              <w:rPr>
                <w:rFonts w:cs="Calibri"/>
                <w:color w:val="000000"/>
                <w:sz w:val="14"/>
                <w:szCs w:val="14"/>
                <w:lang w:eastAsia="pt-PT"/>
              </w:rPr>
            </w:pPr>
            <w:r>
              <w:rPr>
                <w:color w:val="000000"/>
                <w:sz w:val="14"/>
                <w:szCs w:val="14"/>
                <w:lang w:eastAsia="pt-PT"/>
              </w:rPr>
              <w:t>Standard deviation</w:t>
            </w:r>
          </w:p>
        </w:tc>
        <w:tc>
          <w:tcPr>
            <w:tcW w:w="777" w:type="dxa"/>
            <w:tcBorders>
              <w:bottom w:val="single" w:sz="4" w:space="0" w:color="auto"/>
            </w:tcBorders>
            <w:shd w:val="clear" w:color="auto" w:fill="auto"/>
          </w:tcPr>
          <w:p w14:paraId="6E2F5416"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A</w:t>
            </w:r>
          </w:p>
        </w:tc>
        <w:tc>
          <w:tcPr>
            <w:tcW w:w="562" w:type="dxa"/>
            <w:tcBorders>
              <w:bottom w:val="single" w:sz="4" w:space="0" w:color="auto"/>
            </w:tcBorders>
            <w:shd w:val="clear" w:color="auto" w:fill="auto"/>
          </w:tcPr>
          <w:p w14:paraId="28B9BF0A" w14:textId="77777777" w:rsidR="00BC1ABE" w:rsidRPr="00BC1ABE" w:rsidRDefault="00BC1ABE" w:rsidP="000B2FD9">
            <w:pPr>
              <w:jc w:val="center"/>
              <w:rPr>
                <w:rFonts w:cs="Calibri"/>
                <w:color w:val="000000"/>
                <w:sz w:val="14"/>
                <w:szCs w:val="14"/>
                <w:lang w:eastAsia="pt-PT"/>
              </w:rPr>
            </w:pPr>
            <w:r w:rsidRPr="00BC1ABE">
              <w:rPr>
                <w:rFonts w:cs="Calibri"/>
                <w:color w:val="000000"/>
                <w:sz w:val="14"/>
                <w:szCs w:val="14"/>
                <w:lang w:eastAsia="pt-PT"/>
              </w:rPr>
              <w:t>Normal</w:t>
            </w:r>
          </w:p>
        </w:tc>
      </w:tr>
    </w:tbl>
    <w:p w14:paraId="28C4F4EA" w14:textId="77777777" w:rsidR="00BC1ABE" w:rsidRDefault="00BC1ABE" w:rsidP="004D1A84">
      <w:pPr>
        <w:jc w:val="both"/>
        <w:rPr>
          <w:sz w:val="20"/>
        </w:rPr>
      </w:pPr>
    </w:p>
    <w:p w14:paraId="26F47214" w14:textId="1EBCAAED" w:rsidR="004D1A84" w:rsidRDefault="004D1A84" w:rsidP="004D1A84">
      <w:pPr>
        <w:jc w:val="both"/>
        <w:rPr>
          <w:sz w:val="20"/>
        </w:rPr>
      </w:pPr>
      <w:r w:rsidRPr="008F6231">
        <w:rPr>
          <w:sz w:val="20"/>
        </w:rPr>
        <w:t xml:space="preserve">Detailed information regarding the uncertainty calculation and validation using Monte Carlo method is described in </w:t>
      </w:r>
      <w:r w:rsidR="002945F6">
        <w:rPr>
          <w:sz w:val="20"/>
        </w:rPr>
        <w:t>[</w:t>
      </w:r>
      <w:r w:rsidR="00D075D7">
        <w:rPr>
          <w:sz w:val="20"/>
        </w:rPr>
        <w:t>11</w:t>
      </w:r>
      <w:r w:rsidR="008F6231" w:rsidRPr="008F6231">
        <w:rPr>
          <w:sz w:val="20"/>
        </w:rPr>
        <w:t>]</w:t>
      </w:r>
      <w:r w:rsidR="002945F6">
        <w:rPr>
          <w:sz w:val="20"/>
        </w:rPr>
        <w:t>.</w:t>
      </w:r>
    </w:p>
    <w:p w14:paraId="0AC91E2B" w14:textId="146A2290" w:rsidR="002945F6" w:rsidRDefault="002945F6" w:rsidP="004D1A84">
      <w:pPr>
        <w:jc w:val="both"/>
        <w:rPr>
          <w:sz w:val="20"/>
        </w:rPr>
      </w:pPr>
      <w:r>
        <w:rPr>
          <w:sz w:val="20"/>
        </w:rPr>
        <w:t xml:space="preserve">The </w:t>
      </w:r>
      <w:r w:rsidR="00D738F7">
        <w:rPr>
          <w:sz w:val="20"/>
        </w:rPr>
        <w:t>major contribution for the flow measuring</w:t>
      </w:r>
      <w:r>
        <w:rPr>
          <w:sz w:val="20"/>
        </w:rPr>
        <w:t xml:space="preserve"> uncertainty </w:t>
      </w:r>
      <w:r w:rsidR="00E71401">
        <w:rPr>
          <w:sz w:val="20"/>
        </w:rPr>
        <w:t>is</w:t>
      </w:r>
      <w:r>
        <w:rPr>
          <w:sz w:val="20"/>
        </w:rPr>
        <w:t xml:space="preserve"> the flow </w:t>
      </w:r>
      <w:r w:rsidR="00D738F7">
        <w:rPr>
          <w:sz w:val="20"/>
        </w:rPr>
        <w:t>in</w:t>
      </w:r>
      <w:r>
        <w:rPr>
          <w:sz w:val="20"/>
        </w:rPr>
        <w:t>stability</w:t>
      </w:r>
      <w:r w:rsidR="00D738F7">
        <w:rPr>
          <w:sz w:val="20"/>
        </w:rPr>
        <w:t xml:space="preserve"> </w:t>
      </w:r>
      <w:r w:rsidR="00D075D7">
        <w:rPr>
          <w:sz w:val="20"/>
        </w:rPr>
        <w:t>which is evidenced</w:t>
      </w:r>
      <w:r w:rsidR="00D738F7">
        <w:rPr>
          <w:sz w:val="20"/>
        </w:rPr>
        <w:t xml:space="preserve"> by the repeatability of the measurements</w:t>
      </w:r>
      <w:r>
        <w:rPr>
          <w:sz w:val="20"/>
        </w:rPr>
        <w:t xml:space="preserve">. </w:t>
      </w:r>
    </w:p>
    <w:p w14:paraId="6097143D" w14:textId="77777777" w:rsidR="00ED26DE" w:rsidRDefault="00ED26DE" w:rsidP="004D1A84">
      <w:pPr>
        <w:jc w:val="both"/>
        <w:rPr>
          <w:sz w:val="20"/>
        </w:rPr>
      </w:pPr>
    </w:p>
    <w:p w14:paraId="1EF03FFA" w14:textId="77777777" w:rsidR="00CB5618" w:rsidRPr="008F1983" w:rsidRDefault="00CB5618" w:rsidP="00AA55EF">
      <w:pPr>
        <w:jc w:val="both"/>
        <w:rPr>
          <w:sz w:val="20"/>
          <w:lang w:val="en-GB"/>
        </w:rPr>
      </w:pPr>
    </w:p>
    <w:p w14:paraId="01D32F2B" w14:textId="77777777" w:rsidR="003234BD" w:rsidRDefault="00F97F5E" w:rsidP="003234BD">
      <w:pPr>
        <w:jc w:val="both"/>
        <w:rPr>
          <w:b/>
          <w:sz w:val="20"/>
        </w:rPr>
      </w:pPr>
      <w:r w:rsidRPr="00F97F5E">
        <w:rPr>
          <w:b/>
          <w:sz w:val="20"/>
        </w:rPr>
        <w:t xml:space="preserve">5. </w:t>
      </w:r>
      <w:r w:rsidR="00D738F7">
        <w:rPr>
          <w:b/>
          <w:sz w:val="20"/>
        </w:rPr>
        <w:t>Present c</w:t>
      </w:r>
      <w:r w:rsidRPr="00F97F5E">
        <w:rPr>
          <w:b/>
          <w:sz w:val="20"/>
        </w:rPr>
        <w:t>alibration</w:t>
      </w:r>
      <w:r w:rsidR="00E71401">
        <w:rPr>
          <w:b/>
          <w:sz w:val="20"/>
        </w:rPr>
        <w:t xml:space="preserve"> </w:t>
      </w:r>
      <w:r w:rsidRPr="00F97F5E">
        <w:rPr>
          <w:b/>
          <w:sz w:val="20"/>
        </w:rPr>
        <w:t>standards</w:t>
      </w:r>
      <w:r w:rsidR="002548BB">
        <w:rPr>
          <w:b/>
          <w:sz w:val="20"/>
        </w:rPr>
        <w:t xml:space="preserve"> for infusion devices</w:t>
      </w:r>
    </w:p>
    <w:p w14:paraId="1DC533D4" w14:textId="77777777" w:rsidR="00F97F5E" w:rsidRDefault="00F97F5E" w:rsidP="003234BD">
      <w:pPr>
        <w:jc w:val="both"/>
        <w:rPr>
          <w:b/>
          <w:sz w:val="20"/>
        </w:rPr>
      </w:pPr>
    </w:p>
    <w:p w14:paraId="31621021" w14:textId="48BF3FC3" w:rsidR="00977641" w:rsidRDefault="00977641" w:rsidP="00977641">
      <w:pPr>
        <w:jc w:val="both"/>
        <w:rPr>
          <w:sz w:val="20"/>
        </w:rPr>
      </w:pPr>
      <w:r>
        <w:rPr>
          <w:sz w:val="20"/>
        </w:rPr>
        <w:t>Currently,</w:t>
      </w:r>
      <w:r w:rsidR="00F97F5E">
        <w:rPr>
          <w:sz w:val="20"/>
        </w:rPr>
        <w:t xml:space="preserve"> several</w:t>
      </w:r>
      <w:r w:rsidR="00F97F5E" w:rsidRPr="002918B0">
        <w:rPr>
          <w:sz w:val="20"/>
        </w:rPr>
        <w:t xml:space="preserve"> standards dealing </w:t>
      </w:r>
      <w:r w:rsidR="005E225E">
        <w:rPr>
          <w:sz w:val="20"/>
        </w:rPr>
        <w:t>with</w:t>
      </w:r>
      <w:r w:rsidR="00F97F5E" w:rsidRPr="002918B0">
        <w:rPr>
          <w:sz w:val="20"/>
        </w:rPr>
        <w:t xml:space="preserve"> calibration of infusion devices (and accessories) using the gravimetric method, e.g. ISO 7886-2</w:t>
      </w:r>
      <w:r w:rsidR="00D075D7">
        <w:rPr>
          <w:sz w:val="20"/>
        </w:rPr>
        <w:t xml:space="preserve"> [5</w:t>
      </w:r>
      <w:r w:rsidR="00F97F5E">
        <w:rPr>
          <w:sz w:val="20"/>
        </w:rPr>
        <w:t>]</w:t>
      </w:r>
      <w:r w:rsidR="00F97F5E" w:rsidRPr="002918B0">
        <w:rPr>
          <w:sz w:val="20"/>
        </w:rPr>
        <w:t>, IEC 60601-2-24</w:t>
      </w:r>
      <w:r w:rsidR="00D075D7">
        <w:rPr>
          <w:sz w:val="20"/>
        </w:rPr>
        <w:t xml:space="preserve"> [6</w:t>
      </w:r>
      <w:r w:rsidR="00F97F5E">
        <w:rPr>
          <w:sz w:val="20"/>
        </w:rPr>
        <w:t>]</w:t>
      </w:r>
      <w:r w:rsidR="0057048C">
        <w:rPr>
          <w:sz w:val="20"/>
        </w:rPr>
        <w:t xml:space="preserve"> and</w:t>
      </w:r>
      <w:r w:rsidR="00F97F5E" w:rsidRPr="002918B0">
        <w:rPr>
          <w:sz w:val="20"/>
        </w:rPr>
        <w:t xml:space="preserve"> ISO 28620</w:t>
      </w:r>
      <w:r w:rsidR="005E225E">
        <w:rPr>
          <w:sz w:val="20"/>
        </w:rPr>
        <w:t xml:space="preserve"> [</w:t>
      </w:r>
      <w:r w:rsidR="00D075D7">
        <w:rPr>
          <w:sz w:val="20"/>
        </w:rPr>
        <w:t>7</w:t>
      </w:r>
      <w:r w:rsidR="00F97F5E">
        <w:rPr>
          <w:sz w:val="20"/>
        </w:rPr>
        <w:t>]</w:t>
      </w:r>
      <w:r>
        <w:rPr>
          <w:sz w:val="20"/>
        </w:rPr>
        <w:t xml:space="preserve"> exist. However</w:t>
      </w:r>
      <w:r w:rsidRPr="00F97F5E">
        <w:rPr>
          <w:sz w:val="20"/>
        </w:rPr>
        <w:t>,</w:t>
      </w:r>
      <w:r>
        <w:rPr>
          <w:sz w:val="20"/>
        </w:rPr>
        <w:t xml:space="preserve"> for these ISO</w:t>
      </w:r>
      <w:r w:rsidRPr="00F97F5E">
        <w:rPr>
          <w:sz w:val="20"/>
        </w:rPr>
        <w:t xml:space="preserve"> </w:t>
      </w:r>
      <w:r w:rsidR="00D075D7">
        <w:rPr>
          <w:sz w:val="20"/>
        </w:rPr>
        <w:t xml:space="preserve">standards </w:t>
      </w:r>
      <w:r w:rsidRPr="00F97F5E">
        <w:rPr>
          <w:sz w:val="20"/>
        </w:rPr>
        <w:t xml:space="preserve">not all buoyancy corrections are taken into account. Consequently, calibrations at low flow rates may be </w:t>
      </w:r>
      <w:r>
        <w:rPr>
          <w:sz w:val="20"/>
        </w:rPr>
        <w:t xml:space="preserve">erroneous </w:t>
      </w:r>
      <w:r w:rsidRPr="00F97F5E">
        <w:rPr>
          <w:sz w:val="20"/>
        </w:rPr>
        <w:t>which can lead to</w:t>
      </w:r>
      <w:r>
        <w:rPr>
          <w:sz w:val="20"/>
        </w:rPr>
        <w:t xml:space="preserve"> incorrect dosage in medical treatments</w:t>
      </w:r>
      <w:r w:rsidR="005E225E" w:rsidRPr="005E225E">
        <w:rPr>
          <w:sz w:val="20"/>
        </w:rPr>
        <w:t>, i.e. an unexpected over or under doses</w:t>
      </w:r>
      <w:r w:rsidR="004B08D5">
        <w:rPr>
          <w:sz w:val="20"/>
        </w:rPr>
        <w:t xml:space="preserve"> when used in the field</w:t>
      </w:r>
      <w:r w:rsidR="005E225E" w:rsidRPr="005E225E">
        <w:rPr>
          <w:sz w:val="20"/>
        </w:rPr>
        <w:t xml:space="preserve">.  </w:t>
      </w:r>
      <w:r>
        <w:rPr>
          <w:sz w:val="20"/>
        </w:rPr>
        <w:t xml:space="preserve"> Moreover, </w:t>
      </w:r>
      <w:r w:rsidRPr="00F97F5E">
        <w:rPr>
          <w:sz w:val="20"/>
        </w:rPr>
        <w:t xml:space="preserve">the </w:t>
      </w:r>
      <w:r>
        <w:rPr>
          <w:sz w:val="20"/>
        </w:rPr>
        <w:t>corrections</w:t>
      </w:r>
      <w:r w:rsidRPr="00F97F5E">
        <w:rPr>
          <w:sz w:val="20"/>
        </w:rPr>
        <w:t xml:space="preserve"> when these instruments are used in field applications, e.g. usage of accessories and varying operating conditions</w:t>
      </w:r>
      <w:r w:rsidR="00D075D7">
        <w:rPr>
          <w:sz w:val="20"/>
        </w:rPr>
        <w:t>,</w:t>
      </w:r>
      <w:r w:rsidRPr="00F97F5E">
        <w:rPr>
          <w:sz w:val="20"/>
        </w:rPr>
        <w:t xml:space="preserve"> are omitted</w:t>
      </w:r>
      <w:r>
        <w:rPr>
          <w:sz w:val="20"/>
        </w:rPr>
        <w:t xml:space="preserve"> in these standards. </w:t>
      </w:r>
    </w:p>
    <w:p w14:paraId="1A1190BE" w14:textId="77777777" w:rsidR="00ED26DE" w:rsidRDefault="00ED26DE" w:rsidP="003234BD">
      <w:pPr>
        <w:jc w:val="both"/>
        <w:rPr>
          <w:sz w:val="20"/>
        </w:rPr>
      </w:pPr>
    </w:p>
    <w:p w14:paraId="2EEA78D4" w14:textId="59ED84D8" w:rsidR="00F97F5E" w:rsidRDefault="00F97F5E" w:rsidP="003234BD">
      <w:pPr>
        <w:jc w:val="both"/>
        <w:rPr>
          <w:sz w:val="20"/>
        </w:rPr>
      </w:pPr>
      <w:r>
        <w:rPr>
          <w:sz w:val="20"/>
        </w:rPr>
        <w:t xml:space="preserve">From the analysis of </w:t>
      </w:r>
      <w:r w:rsidR="00ED26DE">
        <w:rPr>
          <w:sz w:val="20"/>
        </w:rPr>
        <w:t xml:space="preserve">standards </w:t>
      </w:r>
      <w:r>
        <w:rPr>
          <w:sz w:val="20"/>
        </w:rPr>
        <w:t>ISO 7886-2</w:t>
      </w:r>
      <w:r w:rsidR="00D075D7">
        <w:rPr>
          <w:sz w:val="20"/>
        </w:rPr>
        <w:t xml:space="preserve"> [5</w:t>
      </w:r>
      <w:r w:rsidR="00ED26DE">
        <w:rPr>
          <w:sz w:val="20"/>
        </w:rPr>
        <w:t>]</w:t>
      </w:r>
      <w:r>
        <w:rPr>
          <w:sz w:val="20"/>
        </w:rPr>
        <w:t xml:space="preserve"> and </w:t>
      </w:r>
      <w:r w:rsidRPr="002918B0">
        <w:rPr>
          <w:sz w:val="20"/>
        </w:rPr>
        <w:t>IEC 60601-2-</w:t>
      </w:r>
      <w:r>
        <w:rPr>
          <w:sz w:val="20"/>
        </w:rPr>
        <w:t xml:space="preserve">24 </w:t>
      </w:r>
      <w:r w:rsidR="005E225E">
        <w:rPr>
          <w:sz w:val="20"/>
        </w:rPr>
        <w:t>[</w:t>
      </w:r>
      <w:r w:rsidR="00D075D7">
        <w:rPr>
          <w:sz w:val="20"/>
        </w:rPr>
        <w:t>6</w:t>
      </w:r>
      <w:r w:rsidR="00ED26DE">
        <w:rPr>
          <w:sz w:val="20"/>
        </w:rPr>
        <w:t>]</w:t>
      </w:r>
      <w:r w:rsidR="00D075D7">
        <w:rPr>
          <w:sz w:val="20"/>
        </w:rPr>
        <w:t>,</w:t>
      </w:r>
      <w:r w:rsidR="00ED26DE">
        <w:rPr>
          <w:sz w:val="20"/>
        </w:rPr>
        <w:t xml:space="preserve"> </w:t>
      </w:r>
      <w:r>
        <w:rPr>
          <w:sz w:val="20"/>
        </w:rPr>
        <w:t xml:space="preserve">it </w:t>
      </w:r>
      <w:r w:rsidR="00ED26DE">
        <w:rPr>
          <w:sz w:val="20"/>
        </w:rPr>
        <w:t xml:space="preserve">could </w:t>
      </w:r>
      <w:r>
        <w:rPr>
          <w:sz w:val="20"/>
        </w:rPr>
        <w:t>be verified that</w:t>
      </w:r>
      <w:r w:rsidR="00977641">
        <w:rPr>
          <w:sz w:val="20"/>
        </w:rPr>
        <w:t>:</w:t>
      </w:r>
    </w:p>
    <w:p w14:paraId="742A3282" w14:textId="77777777" w:rsidR="00F97F5E" w:rsidRPr="00F97F5E" w:rsidRDefault="00F97F5E" w:rsidP="00F97F5E">
      <w:pPr>
        <w:jc w:val="both"/>
        <w:rPr>
          <w:sz w:val="20"/>
        </w:rPr>
      </w:pPr>
      <w:r>
        <w:rPr>
          <w:sz w:val="20"/>
        </w:rPr>
        <w:t>a</w:t>
      </w:r>
      <w:r w:rsidR="0057048C">
        <w:rPr>
          <w:sz w:val="20"/>
        </w:rPr>
        <w:t>) T</w:t>
      </w:r>
      <w:r>
        <w:rPr>
          <w:sz w:val="20"/>
        </w:rPr>
        <w:t>here is no</w:t>
      </w:r>
      <w:r w:rsidR="00E00706">
        <w:rPr>
          <w:sz w:val="20"/>
        </w:rPr>
        <w:t xml:space="preserve"> addressing on how to correct </w:t>
      </w:r>
      <w:r w:rsidRPr="0057048C">
        <w:rPr>
          <w:sz w:val="20"/>
        </w:rPr>
        <w:t>for evaporation</w:t>
      </w:r>
      <w:r w:rsidR="00977641">
        <w:rPr>
          <w:sz w:val="20"/>
        </w:rPr>
        <w:t>;</w:t>
      </w:r>
    </w:p>
    <w:p w14:paraId="11E088BC" w14:textId="77777777" w:rsidR="00F97F5E" w:rsidRPr="0057048C" w:rsidRDefault="00F97F5E" w:rsidP="00F97F5E">
      <w:pPr>
        <w:jc w:val="both"/>
        <w:rPr>
          <w:sz w:val="20"/>
        </w:rPr>
      </w:pPr>
      <w:r w:rsidRPr="0057048C">
        <w:rPr>
          <w:sz w:val="20"/>
        </w:rPr>
        <w:t xml:space="preserve">b) </w:t>
      </w:r>
      <w:r w:rsidR="00E00706">
        <w:rPr>
          <w:sz w:val="20"/>
        </w:rPr>
        <w:t>There is no indication for tests to be performed for different flow rates and replicates;</w:t>
      </w:r>
      <w:r w:rsidR="00E00706" w:rsidRPr="0057048C" w:rsidDel="00E00706">
        <w:rPr>
          <w:sz w:val="20"/>
        </w:rPr>
        <w:t xml:space="preserve"> </w:t>
      </w:r>
    </w:p>
    <w:p w14:paraId="6DEA5029" w14:textId="3D662F45" w:rsidR="00E00706" w:rsidRDefault="00F97F5E" w:rsidP="00F97F5E">
      <w:pPr>
        <w:jc w:val="both"/>
        <w:rPr>
          <w:sz w:val="20"/>
        </w:rPr>
      </w:pPr>
      <w:r w:rsidRPr="0057048C">
        <w:rPr>
          <w:sz w:val="20"/>
        </w:rPr>
        <w:t xml:space="preserve">c) </w:t>
      </w:r>
      <w:r w:rsidR="00E00706">
        <w:rPr>
          <w:sz w:val="20"/>
        </w:rPr>
        <w:t xml:space="preserve">There is </w:t>
      </w:r>
      <w:r w:rsidR="004B08D5">
        <w:rPr>
          <w:sz w:val="20"/>
        </w:rPr>
        <w:t xml:space="preserve">no </w:t>
      </w:r>
      <w:r w:rsidR="00E00706">
        <w:rPr>
          <w:sz w:val="20"/>
        </w:rPr>
        <w:t>reference for test duration as well as recommendation of minimal time for flow stabilization;</w:t>
      </w:r>
    </w:p>
    <w:p w14:paraId="51123A1E" w14:textId="31494AB7" w:rsidR="00F97F5E" w:rsidRPr="0057048C" w:rsidRDefault="00F97F5E" w:rsidP="00F97F5E">
      <w:pPr>
        <w:jc w:val="both"/>
        <w:rPr>
          <w:sz w:val="20"/>
        </w:rPr>
      </w:pPr>
      <w:r w:rsidRPr="0057048C">
        <w:rPr>
          <w:sz w:val="20"/>
        </w:rPr>
        <w:t>d) The density formula</w:t>
      </w:r>
      <w:r w:rsidR="00E00706">
        <w:rPr>
          <w:sz w:val="20"/>
        </w:rPr>
        <w:t xml:space="preserve"> as a function of temperature</w:t>
      </w:r>
      <w:r w:rsidRPr="0057048C">
        <w:rPr>
          <w:sz w:val="20"/>
        </w:rPr>
        <w:t xml:space="preserve"> </w:t>
      </w:r>
      <w:r w:rsidR="00E00706">
        <w:rPr>
          <w:sz w:val="20"/>
        </w:rPr>
        <w:t xml:space="preserve">of the calibration </w:t>
      </w:r>
      <w:r w:rsidR="004B08D5">
        <w:rPr>
          <w:sz w:val="20"/>
        </w:rPr>
        <w:t>liquid</w:t>
      </w:r>
      <w:r w:rsidR="00E00706">
        <w:rPr>
          <w:sz w:val="20"/>
        </w:rPr>
        <w:t xml:space="preserve"> is not given</w:t>
      </w:r>
      <w:r w:rsidRPr="0057048C">
        <w:rPr>
          <w:sz w:val="20"/>
        </w:rPr>
        <w:t xml:space="preserve">, </w:t>
      </w:r>
      <w:r w:rsidR="00E00706">
        <w:rPr>
          <w:sz w:val="20"/>
        </w:rPr>
        <w:t xml:space="preserve">only </w:t>
      </w:r>
      <w:r w:rsidR="00ED26DE">
        <w:rPr>
          <w:sz w:val="20"/>
        </w:rPr>
        <w:t xml:space="preserve">the </w:t>
      </w:r>
      <w:r w:rsidR="00E00706">
        <w:rPr>
          <w:sz w:val="20"/>
        </w:rPr>
        <w:t>density</w:t>
      </w:r>
      <w:r w:rsidRPr="0057048C">
        <w:rPr>
          <w:sz w:val="20"/>
        </w:rPr>
        <w:t xml:space="preserve"> value at 20 ºC</w:t>
      </w:r>
      <w:r w:rsidR="00E00706">
        <w:rPr>
          <w:sz w:val="20"/>
        </w:rPr>
        <w:t>;</w:t>
      </w:r>
    </w:p>
    <w:p w14:paraId="434C693D" w14:textId="53B04588" w:rsidR="00F97F5E" w:rsidRPr="0057048C" w:rsidRDefault="0057048C" w:rsidP="00F97F5E">
      <w:pPr>
        <w:jc w:val="both"/>
        <w:rPr>
          <w:sz w:val="20"/>
        </w:rPr>
      </w:pPr>
      <w:r>
        <w:rPr>
          <w:sz w:val="20"/>
        </w:rPr>
        <w:t xml:space="preserve">e) </w:t>
      </w:r>
      <w:r w:rsidR="00F97F5E" w:rsidRPr="0057048C">
        <w:rPr>
          <w:sz w:val="20"/>
        </w:rPr>
        <w:t>There is no correction</w:t>
      </w:r>
      <w:r w:rsidR="00E00706">
        <w:rPr>
          <w:sz w:val="20"/>
        </w:rPr>
        <w:t xml:space="preserve"> for buoyancy</w:t>
      </w:r>
      <w:r w:rsidR="00D075D7">
        <w:rPr>
          <w:sz w:val="20"/>
        </w:rPr>
        <w:t>;</w:t>
      </w:r>
    </w:p>
    <w:p w14:paraId="656E28EB" w14:textId="26769517" w:rsidR="00F97F5E" w:rsidRPr="0057048C" w:rsidRDefault="0057048C" w:rsidP="00F97F5E">
      <w:pPr>
        <w:jc w:val="both"/>
        <w:rPr>
          <w:sz w:val="20"/>
        </w:rPr>
      </w:pPr>
      <w:r>
        <w:rPr>
          <w:sz w:val="20"/>
        </w:rPr>
        <w:t xml:space="preserve">f) </w:t>
      </w:r>
      <w:r w:rsidR="00F97F5E" w:rsidRPr="0057048C">
        <w:rPr>
          <w:sz w:val="20"/>
        </w:rPr>
        <w:t xml:space="preserve">No information on how to measure the </w:t>
      </w:r>
      <w:r w:rsidR="004B08D5">
        <w:rPr>
          <w:sz w:val="20"/>
        </w:rPr>
        <w:t>calibration liquid</w:t>
      </w:r>
      <w:r w:rsidR="00F97F5E" w:rsidRPr="0057048C">
        <w:rPr>
          <w:sz w:val="20"/>
        </w:rPr>
        <w:t xml:space="preserve"> temperature</w:t>
      </w:r>
      <w:r w:rsidR="00D075D7">
        <w:rPr>
          <w:sz w:val="20"/>
        </w:rPr>
        <w:t xml:space="preserve"> is given;</w:t>
      </w:r>
    </w:p>
    <w:p w14:paraId="4E249E74" w14:textId="6D2F6D6D" w:rsidR="00F97F5E" w:rsidRPr="0057048C" w:rsidRDefault="0057048C" w:rsidP="00F97F5E">
      <w:pPr>
        <w:jc w:val="both"/>
        <w:rPr>
          <w:sz w:val="20"/>
        </w:rPr>
      </w:pPr>
      <w:r>
        <w:rPr>
          <w:sz w:val="20"/>
        </w:rPr>
        <w:t xml:space="preserve">g) </w:t>
      </w:r>
      <w:r w:rsidR="00F97F5E" w:rsidRPr="0057048C">
        <w:rPr>
          <w:sz w:val="20"/>
        </w:rPr>
        <w:t xml:space="preserve">There is no </w:t>
      </w:r>
      <w:r w:rsidR="00E00706">
        <w:rPr>
          <w:sz w:val="20"/>
        </w:rPr>
        <w:t>recommendation</w:t>
      </w:r>
      <w:r w:rsidR="00E00706" w:rsidRPr="0057048C">
        <w:rPr>
          <w:sz w:val="20"/>
        </w:rPr>
        <w:t xml:space="preserve"> </w:t>
      </w:r>
      <w:r w:rsidR="00E00706">
        <w:rPr>
          <w:sz w:val="20"/>
        </w:rPr>
        <w:t>for the need to program the syringe pump accordingly to the type of disposable</w:t>
      </w:r>
      <w:r w:rsidR="004B08D5">
        <w:rPr>
          <w:sz w:val="20"/>
        </w:rPr>
        <w:t>, mainly the plastic syringe used</w:t>
      </w:r>
      <w:r w:rsidR="00E00706">
        <w:rPr>
          <w:sz w:val="20"/>
        </w:rPr>
        <w:t>;</w:t>
      </w:r>
    </w:p>
    <w:p w14:paraId="6DDFB53C" w14:textId="77777777" w:rsidR="00F97F5E" w:rsidRDefault="0057048C" w:rsidP="00F97F5E">
      <w:pPr>
        <w:jc w:val="both"/>
        <w:rPr>
          <w:sz w:val="20"/>
        </w:rPr>
      </w:pPr>
      <w:r>
        <w:rPr>
          <w:sz w:val="20"/>
        </w:rPr>
        <w:t xml:space="preserve">h) </w:t>
      </w:r>
      <w:r w:rsidR="00F97F5E" w:rsidRPr="0057048C">
        <w:rPr>
          <w:sz w:val="20"/>
        </w:rPr>
        <w:t>There is no reference to uncertainty</w:t>
      </w:r>
      <w:r w:rsidR="003A1ADD">
        <w:rPr>
          <w:sz w:val="20"/>
        </w:rPr>
        <w:t xml:space="preserve"> budget</w:t>
      </w:r>
      <w:r w:rsidR="002548BB">
        <w:rPr>
          <w:sz w:val="20"/>
        </w:rPr>
        <w:t>.</w:t>
      </w:r>
    </w:p>
    <w:p w14:paraId="3A38AA9F" w14:textId="77777777" w:rsidR="00EF67FA" w:rsidRPr="0057048C" w:rsidRDefault="00EF67FA" w:rsidP="00F97F5E">
      <w:pPr>
        <w:jc w:val="both"/>
        <w:rPr>
          <w:sz w:val="20"/>
        </w:rPr>
      </w:pPr>
    </w:p>
    <w:p w14:paraId="2AF657ED" w14:textId="2364B82C" w:rsidR="003A1ADD" w:rsidRDefault="003A1ADD" w:rsidP="003A1ADD">
      <w:pPr>
        <w:jc w:val="both"/>
        <w:rPr>
          <w:sz w:val="20"/>
        </w:rPr>
      </w:pPr>
      <w:r w:rsidRPr="00ED26DE">
        <w:rPr>
          <w:sz w:val="20"/>
        </w:rPr>
        <w:t xml:space="preserve">ISO 28620 </w:t>
      </w:r>
      <w:r w:rsidR="00A7622D" w:rsidRPr="00262AE5">
        <w:rPr>
          <w:sz w:val="20"/>
        </w:rPr>
        <w:t>[</w:t>
      </w:r>
      <w:r w:rsidR="00D075D7">
        <w:rPr>
          <w:sz w:val="20"/>
        </w:rPr>
        <w:t>7</w:t>
      </w:r>
      <w:r w:rsidR="00A7622D" w:rsidRPr="00262AE5">
        <w:rPr>
          <w:sz w:val="20"/>
        </w:rPr>
        <w:t>] assesses</w:t>
      </w:r>
      <w:r>
        <w:rPr>
          <w:color w:val="000000" w:themeColor="text1"/>
          <w:sz w:val="20"/>
        </w:rPr>
        <w:t xml:space="preserve"> the determination of the flow measurement error. However, is </w:t>
      </w:r>
      <w:r w:rsidR="00D075D7">
        <w:rPr>
          <w:color w:val="000000" w:themeColor="text1"/>
          <w:sz w:val="20"/>
        </w:rPr>
        <w:t>it is not enough</w:t>
      </w:r>
      <w:r>
        <w:rPr>
          <w:color w:val="000000" w:themeColor="text1"/>
          <w:sz w:val="20"/>
        </w:rPr>
        <w:t xml:space="preserve"> detailed. We propose that this ISO </w:t>
      </w:r>
      <w:r w:rsidR="00D075D7">
        <w:rPr>
          <w:color w:val="000000" w:themeColor="text1"/>
          <w:sz w:val="20"/>
        </w:rPr>
        <w:t xml:space="preserve">standard </w:t>
      </w:r>
      <w:r w:rsidR="006E08BC">
        <w:rPr>
          <w:color w:val="000000" w:themeColor="text1"/>
          <w:sz w:val="20"/>
        </w:rPr>
        <w:t>include</w:t>
      </w:r>
      <w:r w:rsidR="00D075D7">
        <w:rPr>
          <w:color w:val="000000" w:themeColor="text1"/>
          <w:sz w:val="20"/>
        </w:rPr>
        <w:t>s</w:t>
      </w:r>
      <w:r w:rsidR="004B08D5">
        <w:rPr>
          <w:color w:val="000000" w:themeColor="text1"/>
          <w:sz w:val="20"/>
        </w:rPr>
        <w:t xml:space="preserve"> the following information:</w:t>
      </w:r>
      <w:r>
        <w:rPr>
          <w:color w:val="000000" w:themeColor="text1"/>
          <w:sz w:val="20"/>
        </w:rPr>
        <w:t xml:space="preserve"> the </w:t>
      </w:r>
      <w:r w:rsidRPr="0057048C">
        <w:rPr>
          <w:sz w:val="20"/>
        </w:rPr>
        <w:t>buoyancy correction</w:t>
      </w:r>
      <w:r>
        <w:rPr>
          <w:sz w:val="20"/>
        </w:rPr>
        <w:t>, the number of repetitions</w:t>
      </w:r>
      <w:r w:rsidR="00AA4006">
        <w:rPr>
          <w:sz w:val="20"/>
        </w:rPr>
        <w:t xml:space="preserve">, </w:t>
      </w:r>
      <w:r w:rsidR="004B08D5">
        <w:rPr>
          <w:sz w:val="20"/>
        </w:rPr>
        <w:t>and information</w:t>
      </w:r>
      <w:r w:rsidRPr="0057048C">
        <w:rPr>
          <w:sz w:val="20"/>
        </w:rPr>
        <w:t xml:space="preserve"> on how to measure the water temperature and density</w:t>
      </w:r>
      <w:r w:rsidR="00AA4006">
        <w:rPr>
          <w:sz w:val="20"/>
        </w:rPr>
        <w:t xml:space="preserve"> </w:t>
      </w:r>
      <w:r w:rsidR="00EF67FA" w:rsidRPr="0057048C">
        <w:rPr>
          <w:sz w:val="20"/>
        </w:rPr>
        <w:t>formula</w:t>
      </w:r>
      <w:r w:rsidR="00EF67FA">
        <w:rPr>
          <w:sz w:val="20"/>
        </w:rPr>
        <w:t xml:space="preserve"> as a function of temperature</w:t>
      </w:r>
      <w:r w:rsidR="00EF67FA" w:rsidRPr="0057048C">
        <w:rPr>
          <w:sz w:val="20"/>
        </w:rPr>
        <w:t xml:space="preserve"> </w:t>
      </w:r>
      <w:r w:rsidR="00EF67FA">
        <w:rPr>
          <w:sz w:val="20"/>
        </w:rPr>
        <w:t xml:space="preserve">of the calibration </w:t>
      </w:r>
      <w:r w:rsidR="004B08D5">
        <w:rPr>
          <w:sz w:val="20"/>
        </w:rPr>
        <w:t>liquid</w:t>
      </w:r>
      <w:r>
        <w:rPr>
          <w:sz w:val="20"/>
        </w:rPr>
        <w:t>.</w:t>
      </w:r>
    </w:p>
    <w:p w14:paraId="4797E17C" w14:textId="77777777" w:rsidR="003A1ADD" w:rsidRPr="00F97F5E" w:rsidRDefault="003A1ADD" w:rsidP="003A1ADD">
      <w:pPr>
        <w:jc w:val="both"/>
        <w:rPr>
          <w:b/>
          <w:sz w:val="20"/>
        </w:rPr>
      </w:pPr>
    </w:p>
    <w:p w14:paraId="28B22957" w14:textId="77777777" w:rsidR="00F97F5E" w:rsidRPr="00F97F5E" w:rsidRDefault="00F97F5E" w:rsidP="003234BD">
      <w:pPr>
        <w:jc w:val="both"/>
        <w:rPr>
          <w:b/>
          <w:sz w:val="20"/>
        </w:rPr>
      </w:pPr>
    </w:p>
    <w:p w14:paraId="55E8B988" w14:textId="77777777" w:rsidR="005F2C46" w:rsidRDefault="00EA23E6">
      <w:pPr>
        <w:pStyle w:val="Cabealho1"/>
      </w:pPr>
      <w:r>
        <w:t>6</w:t>
      </w:r>
      <w:r w:rsidR="005F2C46">
        <w:t>. Conclusion</w:t>
      </w:r>
    </w:p>
    <w:p w14:paraId="5C2288D2" w14:textId="77777777" w:rsidR="005F2C46" w:rsidRDefault="005F2C46">
      <w:pPr>
        <w:pStyle w:val="Corpodetexto"/>
      </w:pPr>
    </w:p>
    <w:p w14:paraId="33E7C824" w14:textId="6A1A6AED" w:rsidR="00EF67FA" w:rsidRDefault="00851EBC">
      <w:pPr>
        <w:pStyle w:val="Corpodetexto"/>
      </w:pPr>
      <w:r w:rsidRPr="001F7E1C">
        <w:t xml:space="preserve">Among </w:t>
      </w:r>
      <w:r w:rsidRPr="008B4DBF">
        <w:t>other aspects</w:t>
      </w:r>
      <w:r w:rsidR="00D075D7">
        <w:t>,</w:t>
      </w:r>
      <w:r>
        <w:t xml:space="preserve"> </w:t>
      </w:r>
      <w:r w:rsidR="00EF67FA">
        <w:t xml:space="preserve">MeDD project was important </w:t>
      </w:r>
      <w:r w:rsidR="002A1917">
        <w:t>to conclude that</w:t>
      </w:r>
      <w:r w:rsidR="00EF67FA">
        <w:t xml:space="preserve"> </w:t>
      </w:r>
      <w:r w:rsidR="00ED26DE">
        <w:t>ISO 7886-2 [</w:t>
      </w:r>
      <w:r w:rsidR="00D075D7">
        <w:t>5</w:t>
      </w:r>
      <w:r w:rsidR="00ED26DE">
        <w:t xml:space="preserve">], </w:t>
      </w:r>
      <w:r w:rsidR="00ED26DE" w:rsidRPr="002918B0">
        <w:t>IEC 60601-2-</w:t>
      </w:r>
      <w:r w:rsidR="005E225E">
        <w:t>24 [</w:t>
      </w:r>
      <w:r w:rsidR="00D075D7">
        <w:t>6</w:t>
      </w:r>
      <w:r w:rsidR="00ED26DE">
        <w:t xml:space="preserve">] and </w:t>
      </w:r>
      <w:r w:rsidR="001C6693">
        <w:t>ISO 28620 [7</w:t>
      </w:r>
      <w:r w:rsidR="00ED26DE" w:rsidRPr="00ED26DE">
        <w:t>]</w:t>
      </w:r>
      <w:r w:rsidR="00ED26DE">
        <w:t xml:space="preserve"> </w:t>
      </w:r>
      <w:r w:rsidR="00EF67FA">
        <w:t xml:space="preserve">are </w:t>
      </w:r>
      <w:r w:rsidR="002A1917">
        <w:t>insufficient</w:t>
      </w:r>
      <w:r w:rsidR="00EF67FA">
        <w:t xml:space="preserve"> to provide the required calibration needs for infusion instruments. We carefully detailed these inconsistencies for each of the ISO</w:t>
      </w:r>
      <w:r w:rsidR="004B08D5">
        <w:t xml:space="preserve"> standards</w:t>
      </w:r>
      <w:r w:rsidR="002A1917">
        <w:t>,</w:t>
      </w:r>
      <w:r w:rsidR="00EF67FA">
        <w:t xml:space="preserve"> w</w:t>
      </w:r>
      <w:r w:rsidR="00D075D7">
        <w:t>h</w:t>
      </w:r>
      <w:r w:rsidR="00EF67FA">
        <w:t xml:space="preserve">ere most consistently these fail to provide a clear method on buoyancy correction and detailed parameters of calibration procedure. We also note a lack of clear instructions for the corrections to which </w:t>
      </w:r>
      <w:r w:rsidR="002A1917">
        <w:t>apply</w:t>
      </w:r>
      <w:r w:rsidR="00EF67FA">
        <w:t xml:space="preserve"> on field applications. </w:t>
      </w:r>
      <w:r w:rsidR="002A1917">
        <w:t>Therefore,</w:t>
      </w:r>
      <w:r w:rsidR="00EF67FA">
        <w:t xml:space="preserve"> we strongly support the need of the new EMPIR 15SIP03 project started in May 2016, for </w:t>
      </w:r>
      <w:r w:rsidR="004B08D5">
        <w:t xml:space="preserve">the correct broadcast of all </w:t>
      </w:r>
      <w:r w:rsidR="00EF67FA">
        <w:t xml:space="preserve">proposed and meaningful </w:t>
      </w:r>
      <w:r>
        <w:t>amendments</w:t>
      </w:r>
      <w:r w:rsidR="00EF67FA">
        <w:t xml:space="preserve"> of applicable ISO</w:t>
      </w:r>
      <w:r w:rsidR="00ED26DE">
        <w:t xml:space="preserve"> standards.</w:t>
      </w:r>
    </w:p>
    <w:p w14:paraId="5DF5DD7A" w14:textId="77777777" w:rsidR="00EF67FA" w:rsidRDefault="00EF67FA">
      <w:pPr>
        <w:pStyle w:val="Corpodetexto"/>
      </w:pPr>
    </w:p>
    <w:p w14:paraId="17CFC124" w14:textId="77777777" w:rsidR="007B1FD5" w:rsidRDefault="007B1FD5" w:rsidP="00D370DE">
      <w:pPr>
        <w:pStyle w:val="Corpodetexto"/>
      </w:pPr>
    </w:p>
    <w:p w14:paraId="410F3C2A" w14:textId="77777777" w:rsidR="005F2C46" w:rsidRDefault="005F2C46">
      <w:pPr>
        <w:pStyle w:val="Cabealho1"/>
      </w:pPr>
      <w:r>
        <w:lastRenderedPageBreak/>
        <w:t>References</w:t>
      </w:r>
    </w:p>
    <w:p w14:paraId="0083DCA5" w14:textId="77777777" w:rsidR="005F2C46" w:rsidRDefault="005F2C46">
      <w:pPr>
        <w:pStyle w:val="Corpodetexto"/>
      </w:pPr>
    </w:p>
    <w:p w14:paraId="5DB4610F" w14:textId="77777777" w:rsidR="00CB5618" w:rsidRDefault="00CB5618" w:rsidP="00CB5618">
      <w:pPr>
        <w:pStyle w:val="Referenciasbiblio"/>
        <w:rPr>
          <w:rFonts w:ascii="Times New Roman" w:hAnsi="Times New Roman" w:cs="Times New Roman"/>
          <w:color w:val="auto"/>
          <w:sz w:val="20"/>
          <w:szCs w:val="20"/>
          <w:lang w:val="en-AU" w:eastAsia="en-GB"/>
        </w:rPr>
      </w:pPr>
      <w:r w:rsidRPr="00CB5618">
        <w:rPr>
          <w:rFonts w:ascii="Times New Roman" w:hAnsi="Times New Roman" w:cs="Times New Roman"/>
          <w:color w:val="auto"/>
          <w:sz w:val="20"/>
          <w:szCs w:val="20"/>
          <w:lang w:val="en-AU" w:eastAsia="en-GB"/>
        </w:rPr>
        <w:t xml:space="preserve">Lucas, P., </w:t>
      </w:r>
      <w:r w:rsidR="008F1983">
        <w:rPr>
          <w:rFonts w:ascii="Times New Roman" w:hAnsi="Times New Roman" w:cs="Times New Roman"/>
          <w:color w:val="auto"/>
          <w:sz w:val="20"/>
          <w:szCs w:val="20"/>
          <w:lang w:val="en-AU" w:eastAsia="en-GB"/>
        </w:rPr>
        <w:t xml:space="preserve">Klein, S., </w:t>
      </w:r>
      <w:r w:rsidR="008F1983" w:rsidRPr="008F1983">
        <w:rPr>
          <w:rFonts w:ascii="Times New Roman" w:hAnsi="Times New Roman" w:cs="Times New Roman"/>
          <w:i/>
          <w:color w:val="auto"/>
          <w:sz w:val="20"/>
          <w:szCs w:val="20"/>
          <w:lang w:val="en-AU" w:eastAsia="en-GB"/>
        </w:rPr>
        <w:t>Metrology for drug delivery</w:t>
      </w:r>
      <w:r w:rsidRPr="00CB5618">
        <w:rPr>
          <w:rFonts w:ascii="Times New Roman" w:hAnsi="Times New Roman" w:cs="Times New Roman"/>
          <w:color w:val="auto"/>
          <w:sz w:val="20"/>
          <w:szCs w:val="20"/>
          <w:lang w:val="en-AU" w:eastAsia="en-GB"/>
        </w:rPr>
        <w:t>, Biomedical Engineering, 2015, 60(4)</w:t>
      </w:r>
    </w:p>
    <w:p w14:paraId="6BFC625A" w14:textId="77777777" w:rsidR="008F1983" w:rsidRDefault="008F1983" w:rsidP="008F1983">
      <w:pPr>
        <w:pStyle w:val="Referenciasbiblio"/>
        <w:rPr>
          <w:rFonts w:ascii="Times New Roman" w:hAnsi="Times New Roman" w:cs="Times New Roman"/>
          <w:color w:val="auto"/>
          <w:sz w:val="20"/>
          <w:szCs w:val="20"/>
          <w:lang w:val="en-AU" w:eastAsia="en-GB"/>
        </w:rPr>
      </w:pPr>
      <w:r>
        <w:rPr>
          <w:rFonts w:ascii="Times New Roman" w:hAnsi="Times New Roman" w:cs="Times New Roman"/>
          <w:color w:val="auto"/>
          <w:sz w:val="20"/>
          <w:szCs w:val="20"/>
          <w:lang w:val="en-AU" w:eastAsia="en-GB"/>
        </w:rPr>
        <w:t xml:space="preserve">EURAMET project report 1291 - </w:t>
      </w:r>
      <w:r w:rsidRPr="008F1983">
        <w:rPr>
          <w:rFonts w:ascii="Times New Roman" w:hAnsi="Times New Roman" w:cs="Times New Roman"/>
          <w:i/>
          <w:color w:val="auto"/>
          <w:sz w:val="20"/>
          <w:szCs w:val="20"/>
          <w:lang w:val="en-AU" w:eastAsia="en-GB"/>
        </w:rPr>
        <w:t>Comparison of primary standards for liquid micro flow rates</w:t>
      </w:r>
      <w:r>
        <w:rPr>
          <w:rFonts w:ascii="Times New Roman" w:hAnsi="Times New Roman" w:cs="Times New Roman"/>
          <w:color w:val="auto"/>
          <w:sz w:val="20"/>
          <w:szCs w:val="20"/>
          <w:lang w:val="en-AU" w:eastAsia="en-GB"/>
        </w:rPr>
        <w:t>, April 2015, www.euramet.org</w:t>
      </w:r>
    </w:p>
    <w:p w14:paraId="4C55FD32" w14:textId="77777777" w:rsidR="00CB5618" w:rsidRDefault="008F1983" w:rsidP="008F1983">
      <w:pPr>
        <w:pStyle w:val="Referenciasbiblio"/>
        <w:rPr>
          <w:rFonts w:ascii="Times New Roman" w:hAnsi="Times New Roman" w:cs="Times New Roman"/>
          <w:color w:val="auto"/>
          <w:sz w:val="20"/>
          <w:szCs w:val="20"/>
          <w:lang w:val="en-AU" w:eastAsia="en-GB"/>
        </w:rPr>
      </w:pPr>
      <w:r w:rsidRPr="00CB5618">
        <w:rPr>
          <w:rFonts w:ascii="Times New Roman" w:hAnsi="Times New Roman" w:cs="Times New Roman"/>
          <w:color w:val="auto"/>
          <w:sz w:val="20"/>
          <w:szCs w:val="20"/>
          <w:lang w:val="en-AU" w:eastAsia="en-GB"/>
        </w:rPr>
        <w:t xml:space="preserve">Bissig, H., Petter, H.T., Lucas, P., Batista, E., et all, </w:t>
      </w:r>
      <w:r w:rsidRPr="00851EBC">
        <w:rPr>
          <w:rFonts w:ascii="Times New Roman" w:hAnsi="Times New Roman" w:cs="Times New Roman"/>
          <w:i/>
          <w:color w:val="auto"/>
          <w:sz w:val="20"/>
          <w:szCs w:val="20"/>
          <w:lang w:val="en-AU" w:eastAsia="en-GB"/>
        </w:rPr>
        <w:t>Primary standards for measuring flow rates from 100 nl/min to 1 ml/min – gravimetric principle</w:t>
      </w:r>
      <w:r w:rsidRPr="00CB5618">
        <w:rPr>
          <w:rFonts w:ascii="Times New Roman" w:hAnsi="Times New Roman" w:cs="Times New Roman"/>
          <w:color w:val="auto"/>
          <w:sz w:val="20"/>
          <w:szCs w:val="20"/>
          <w:lang w:val="en-AU" w:eastAsia="en-GB"/>
        </w:rPr>
        <w:t>, Biomedical Engineering, 2015, 60(4)</w:t>
      </w:r>
    </w:p>
    <w:p w14:paraId="19DF5397" w14:textId="77777777" w:rsidR="008F1983" w:rsidRDefault="008F1983" w:rsidP="008F1983">
      <w:pPr>
        <w:pStyle w:val="Referenciasbiblio"/>
        <w:rPr>
          <w:rFonts w:ascii="Times New Roman" w:hAnsi="Times New Roman" w:cs="Times New Roman"/>
          <w:color w:val="auto"/>
          <w:sz w:val="20"/>
          <w:szCs w:val="20"/>
          <w:lang w:val="en-AU" w:eastAsia="en-GB"/>
        </w:rPr>
      </w:pPr>
      <w:r w:rsidRPr="00CB5618">
        <w:rPr>
          <w:rFonts w:ascii="Times New Roman" w:hAnsi="Times New Roman" w:cs="Times New Roman"/>
          <w:color w:val="auto"/>
          <w:sz w:val="20"/>
          <w:szCs w:val="20"/>
          <w:lang w:val="en-AU" w:eastAsia="en-GB"/>
        </w:rPr>
        <w:t xml:space="preserve">Batista, E., H Bissig, H., Petter, H.T., Lucas, P et all, </w:t>
      </w:r>
      <w:r w:rsidRPr="008F1983">
        <w:rPr>
          <w:rFonts w:ascii="Times New Roman" w:hAnsi="Times New Roman" w:cs="Times New Roman"/>
          <w:i/>
          <w:color w:val="auto"/>
          <w:sz w:val="20"/>
          <w:szCs w:val="20"/>
          <w:lang w:val="en-AU" w:eastAsia="en-GB"/>
        </w:rPr>
        <w:t>Assessment of drug delivery devices</w:t>
      </w:r>
      <w:r w:rsidRPr="00CB5618">
        <w:rPr>
          <w:rFonts w:ascii="Times New Roman" w:hAnsi="Times New Roman" w:cs="Times New Roman"/>
          <w:color w:val="auto"/>
          <w:sz w:val="20"/>
          <w:szCs w:val="20"/>
          <w:lang w:val="en-AU" w:eastAsia="en-GB"/>
        </w:rPr>
        <w:t>, Biomedical Engineering, 2015, 60(4)</w:t>
      </w:r>
    </w:p>
    <w:p w14:paraId="279674F7" w14:textId="77777777" w:rsidR="00E71401" w:rsidRDefault="00E71401" w:rsidP="00E71401">
      <w:pPr>
        <w:pStyle w:val="Referenciasbiblio"/>
        <w:rPr>
          <w:rFonts w:ascii="Times New Roman" w:hAnsi="Times New Roman" w:cs="Times New Roman"/>
          <w:color w:val="auto"/>
          <w:sz w:val="20"/>
          <w:szCs w:val="20"/>
          <w:lang w:val="en-AU" w:eastAsia="en-GB"/>
        </w:rPr>
      </w:pPr>
      <w:r>
        <w:rPr>
          <w:rFonts w:ascii="Times New Roman" w:hAnsi="Times New Roman" w:cs="Times New Roman"/>
          <w:color w:val="auto"/>
          <w:sz w:val="20"/>
          <w:szCs w:val="20"/>
          <w:lang w:val="en-AU" w:eastAsia="en-GB"/>
        </w:rPr>
        <w:t xml:space="preserve">ISO 7886-2, </w:t>
      </w:r>
      <w:r w:rsidRPr="00786AFC">
        <w:rPr>
          <w:rFonts w:ascii="Times New Roman" w:hAnsi="Times New Roman" w:cs="Times New Roman"/>
          <w:i/>
          <w:color w:val="auto"/>
          <w:sz w:val="20"/>
          <w:szCs w:val="20"/>
          <w:lang w:val="en-AU" w:eastAsia="en-GB"/>
        </w:rPr>
        <w:t>Sterile hypodermic syringes for single use, Part 2: Syringes for use with power-driven syringe pumps</w:t>
      </w:r>
      <w:r>
        <w:rPr>
          <w:rFonts w:ascii="Times New Roman" w:hAnsi="Times New Roman" w:cs="Times New Roman"/>
          <w:color w:val="auto"/>
          <w:sz w:val="20"/>
          <w:szCs w:val="20"/>
          <w:lang w:val="en-AU" w:eastAsia="en-GB"/>
        </w:rPr>
        <w:t>, 1996</w:t>
      </w:r>
    </w:p>
    <w:p w14:paraId="5211E88B" w14:textId="77777777" w:rsidR="00E71401" w:rsidRPr="00786AFC" w:rsidRDefault="00E71401" w:rsidP="00E71401">
      <w:pPr>
        <w:pStyle w:val="Referenciasbiblio"/>
        <w:rPr>
          <w:rFonts w:ascii="Times New Roman" w:hAnsi="Times New Roman" w:cs="Times New Roman"/>
          <w:color w:val="auto"/>
          <w:sz w:val="20"/>
          <w:szCs w:val="20"/>
          <w:lang w:val="en-AU" w:eastAsia="en-GB"/>
        </w:rPr>
      </w:pPr>
      <w:r>
        <w:rPr>
          <w:rFonts w:ascii="Times New Roman" w:hAnsi="Times New Roman" w:cs="Times New Roman"/>
          <w:color w:val="auto"/>
          <w:sz w:val="20"/>
          <w:szCs w:val="20"/>
          <w:lang w:val="en-AU" w:eastAsia="en-GB"/>
        </w:rPr>
        <w:t xml:space="preserve">IEC, IEC 60601-2-24 </w:t>
      </w:r>
      <w:r w:rsidRPr="00786AFC">
        <w:rPr>
          <w:rFonts w:ascii="Times New Roman" w:hAnsi="Times New Roman" w:cs="Times New Roman"/>
          <w:i/>
          <w:color w:val="auto"/>
          <w:sz w:val="20"/>
          <w:szCs w:val="20"/>
          <w:lang w:val="en-AU" w:eastAsia="en-GB"/>
        </w:rPr>
        <w:t>Medical electrical equipment - Part 2-24: Particular requirements for the safety of infusion pumps and controllers</w:t>
      </w:r>
      <w:r w:rsidRPr="00786AFC">
        <w:rPr>
          <w:rFonts w:ascii="Times New Roman" w:hAnsi="Times New Roman" w:cs="Times New Roman"/>
          <w:color w:val="auto"/>
          <w:sz w:val="20"/>
          <w:szCs w:val="20"/>
          <w:lang w:val="en-AU" w:eastAsia="en-GB"/>
        </w:rPr>
        <w:t>, Switzerland</w:t>
      </w:r>
      <w:r>
        <w:rPr>
          <w:rFonts w:ascii="Times New Roman" w:hAnsi="Times New Roman" w:cs="Times New Roman"/>
          <w:color w:val="auto"/>
          <w:sz w:val="20"/>
          <w:szCs w:val="20"/>
          <w:lang w:val="en-AU" w:eastAsia="en-GB"/>
        </w:rPr>
        <w:t>, 2012</w:t>
      </w:r>
    </w:p>
    <w:p w14:paraId="1412FAE9" w14:textId="77777777" w:rsidR="00E71401" w:rsidRPr="00E71401" w:rsidRDefault="00E71401" w:rsidP="00E71401">
      <w:pPr>
        <w:pStyle w:val="Referenciasbiblio"/>
        <w:rPr>
          <w:rFonts w:ascii="Times New Roman" w:hAnsi="Times New Roman" w:cs="Times New Roman"/>
          <w:color w:val="auto"/>
          <w:sz w:val="20"/>
          <w:szCs w:val="20"/>
          <w:lang w:val="en-AU" w:eastAsia="en-GB"/>
        </w:rPr>
      </w:pPr>
      <w:r>
        <w:rPr>
          <w:rFonts w:ascii="Times New Roman" w:hAnsi="Times New Roman" w:cs="Times New Roman"/>
          <w:color w:val="auto"/>
          <w:sz w:val="20"/>
          <w:szCs w:val="20"/>
          <w:lang w:val="en-AU" w:eastAsia="en-GB"/>
        </w:rPr>
        <w:t xml:space="preserve">ISO 28620, </w:t>
      </w:r>
      <w:r w:rsidRPr="00E71401">
        <w:rPr>
          <w:rFonts w:ascii="Times New Roman" w:hAnsi="Times New Roman" w:cs="Times New Roman"/>
          <w:i/>
          <w:color w:val="auto"/>
          <w:sz w:val="20"/>
          <w:szCs w:val="20"/>
          <w:lang w:val="en-AU" w:eastAsia="en-GB"/>
        </w:rPr>
        <w:t>Medical devices -- Non-electrically driven portable infusion devices</w:t>
      </w:r>
      <w:r>
        <w:rPr>
          <w:rFonts w:ascii="Times New Roman" w:hAnsi="Times New Roman" w:cs="Times New Roman"/>
          <w:color w:val="auto"/>
          <w:sz w:val="20"/>
          <w:szCs w:val="20"/>
          <w:lang w:val="en-AU" w:eastAsia="en-GB"/>
        </w:rPr>
        <w:t>, 2010</w:t>
      </w:r>
    </w:p>
    <w:p w14:paraId="37306B07" w14:textId="77777777" w:rsidR="008F1983" w:rsidRDefault="008F6231" w:rsidP="00E71401">
      <w:pPr>
        <w:pStyle w:val="Referenciasbiblio"/>
        <w:rPr>
          <w:rFonts w:ascii="Times New Roman" w:hAnsi="Times New Roman" w:cs="Times New Roman"/>
          <w:sz w:val="20"/>
          <w:szCs w:val="20"/>
          <w:lang w:val="pt-PT" w:eastAsia="en-GB"/>
        </w:rPr>
      </w:pPr>
      <w:r>
        <w:rPr>
          <w:rFonts w:ascii="Times New Roman" w:hAnsi="Times New Roman" w:cs="Times New Roman"/>
          <w:sz w:val="20"/>
          <w:szCs w:val="20"/>
          <w:lang w:val="pt-PT" w:eastAsia="en-GB"/>
        </w:rPr>
        <w:t>B</w:t>
      </w:r>
      <w:r w:rsidRPr="008F6231">
        <w:rPr>
          <w:rFonts w:ascii="Times New Roman" w:hAnsi="Times New Roman" w:cs="Times New Roman"/>
          <w:sz w:val="20"/>
          <w:szCs w:val="20"/>
          <w:lang w:val="pt-PT" w:eastAsia="en-GB"/>
        </w:rPr>
        <w:t xml:space="preserve">atista E., Gala J., Ribeiro L., Almeida N., Filipe E., Martins R. </w:t>
      </w:r>
      <w:r w:rsidRPr="008F6231">
        <w:rPr>
          <w:rFonts w:ascii="Times New Roman" w:hAnsi="Times New Roman" w:cs="Times New Roman"/>
          <w:i/>
          <w:sz w:val="20"/>
          <w:szCs w:val="20"/>
          <w:lang w:val="pt-PT" w:eastAsia="en-GB"/>
        </w:rPr>
        <w:t>Desenvolvimento de um padrão de medição de caudal de fluidos</w:t>
      </w:r>
      <w:r w:rsidRPr="008F6231">
        <w:rPr>
          <w:rFonts w:ascii="Times New Roman" w:hAnsi="Times New Roman" w:cs="Times New Roman"/>
          <w:sz w:val="20"/>
          <w:szCs w:val="20"/>
          <w:lang w:val="pt-PT" w:eastAsia="en-GB"/>
        </w:rPr>
        <w:t>. Medições e Ensaios. 2014, Bd. 7.</w:t>
      </w:r>
    </w:p>
    <w:p w14:paraId="5786AFBA" w14:textId="77777777" w:rsidR="005E225E" w:rsidRPr="008337D0" w:rsidRDefault="008337D0" w:rsidP="008337D0">
      <w:pPr>
        <w:pStyle w:val="Referenciasbiblio"/>
        <w:rPr>
          <w:rFonts w:ascii="Times New Roman" w:hAnsi="Times New Roman" w:cs="Times New Roman"/>
          <w:color w:val="auto"/>
          <w:sz w:val="20"/>
          <w:szCs w:val="20"/>
          <w:lang w:val="en-AU" w:eastAsia="en-GB"/>
        </w:rPr>
      </w:pPr>
      <w:r>
        <w:rPr>
          <w:rFonts w:ascii="Times New Roman" w:hAnsi="Times New Roman" w:cs="Times New Roman"/>
          <w:color w:val="auto"/>
          <w:sz w:val="20"/>
          <w:szCs w:val="20"/>
          <w:lang w:val="en-AU" w:eastAsia="en-GB"/>
        </w:rPr>
        <w:t xml:space="preserve">ISO 2696, </w:t>
      </w:r>
      <w:r>
        <w:rPr>
          <w:rFonts w:ascii="Times New Roman" w:hAnsi="Times New Roman" w:cs="Times New Roman"/>
          <w:i/>
          <w:color w:val="auto"/>
          <w:sz w:val="20"/>
          <w:szCs w:val="20"/>
          <w:lang w:val="en-AU" w:eastAsia="en-GB"/>
        </w:rPr>
        <w:t>Water for analytical laboratory use – specifications and test methods</w:t>
      </w:r>
      <w:r>
        <w:rPr>
          <w:rFonts w:ascii="Times New Roman" w:hAnsi="Times New Roman" w:cs="Times New Roman"/>
          <w:color w:val="auto"/>
          <w:sz w:val="20"/>
          <w:szCs w:val="20"/>
          <w:lang w:val="en-AU" w:eastAsia="en-GB"/>
        </w:rPr>
        <w:t>, 1987</w:t>
      </w:r>
    </w:p>
    <w:p w14:paraId="651057A6" w14:textId="4907C656" w:rsidR="002945F6" w:rsidRDefault="00245D23" w:rsidP="002945F6">
      <w:pPr>
        <w:pStyle w:val="Referenciasbiblio"/>
        <w:rPr>
          <w:rFonts w:ascii="Times New Roman" w:hAnsi="Times New Roman" w:cs="Times New Roman"/>
          <w:color w:val="auto"/>
          <w:sz w:val="20"/>
          <w:szCs w:val="20"/>
          <w:lang w:val="en-AU" w:eastAsia="en-GB"/>
        </w:rPr>
      </w:pPr>
      <w:r w:rsidRPr="002945F6">
        <w:rPr>
          <w:rFonts w:ascii="Times New Roman" w:hAnsi="Times New Roman" w:cs="Times New Roman"/>
          <w:color w:val="auto"/>
          <w:sz w:val="20"/>
          <w:szCs w:val="20"/>
          <w:lang w:val="en-AU" w:eastAsia="en-GB"/>
        </w:rPr>
        <w:t>JCGM 101</w:t>
      </w:r>
      <w:r>
        <w:rPr>
          <w:rFonts w:ascii="Times New Roman" w:hAnsi="Times New Roman" w:cs="Times New Roman"/>
          <w:color w:val="auto"/>
          <w:sz w:val="20"/>
          <w:szCs w:val="20"/>
          <w:lang w:val="en-AU" w:eastAsia="en-GB"/>
        </w:rPr>
        <w:t xml:space="preserve">, </w:t>
      </w:r>
      <w:r w:rsidR="002945F6" w:rsidRPr="002945F6">
        <w:rPr>
          <w:rFonts w:ascii="Times New Roman" w:hAnsi="Times New Roman" w:cs="Times New Roman"/>
          <w:color w:val="auto"/>
          <w:sz w:val="20"/>
          <w:szCs w:val="20"/>
          <w:lang w:val="en-AU" w:eastAsia="en-GB"/>
        </w:rPr>
        <w:t xml:space="preserve">BIPM, IEC, IFCC, ILAC, ISO, IUPAP and OIML, </w:t>
      </w:r>
      <w:r w:rsidR="002945F6" w:rsidRPr="00851EBC">
        <w:rPr>
          <w:rFonts w:ascii="Times New Roman" w:hAnsi="Times New Roman" w:cs="Times New Roman"/>
          <w:i/>
          <w:color w:val="auto"/>
          <w:sz w:val="20"/>
          <w:szCs w:val="20"/>
          <w:lang w:val="en-AU" w:eastAsia="en-GB"/>
        </w:rPr>
        <w:t>“Evaluation of measurement data – Supplement 1 to the Guide to the Expression of Uncertainty in Measurement – Propagation of distributions using a Monte Carlo method</w:t>
      </w:r>
      <w:r w:rsidR="00851EBC">
        <w:rPr>
          <w:rFonts w:ascii="Times New Roman" w:hAnsi="Times New Roman" w:cs="Times New Roman"/>
          <w:color w:val="auto"/>
          <w:sz w:val="20"/>
          <w:szCs w:val="20"/>
          <w:lang w:val="en-AU" w:eastAsia="en-GB"/>
        </w:rPr>
        <w:t>”</w:t>
      </w:r>
      <w:r w:rsidR="002945F6" w:rsidRPr="002945F6">
        <w:rPr>
          <w:rFonts w:ascii="Times New Roman" w:hAnsi="Times New Roman" w:cs="Times New Roman"/>
          <w:color w:val="auto"/>
          <w:sz w:val="20"/>
          <w:szCs w:val="20"/>
          <w:lang w:val="en-AU" w:eastAsia="en-GB"/>
        </w:rPr>
        <w:t>, Joint Com</w:t>
      </w:r>
      <w:r>
        <w:rPr>
          <w:rFonts w:ascii="Times New Roman" w:hAnsi="Times New Roman" w:cs="Times New Roman"/>
          <w:color w:val="auto"/>
          <w:sz w:val="20"/>
          <w:szCs w:val="20"/>
          <w:lang w:val="en-AU" w:eastAsia="en-GB"/>
        </w:rPr>
        <w:t>mittee for Guides in Metrology,</w:t>
      </w:r>
      <w:r w:rsidR="002945F6" w:rsidRPr="002945F6">
        <w:rPr>
          <w:rFonts w:ascii="Times New Roman" w:hAnsi="Times New Roman" w:cs="Times New Roman"/>
          <w:color w:val="auto"/>
          <w:sz w:val="20"/>
          <w:szCs w:val="20"/>
          <w:lang w:val="en-AU" w:eastAsia="en-GB"/>
        </w:rPr>
        <w:t xml:space="preserve"> 2008</w:t>
      </w:r>
    </w:p>
    <w:p w14:paraId="3EFF566B" w14:textId="77777777" w:rsidR="002945F6" w:rsidRDefault="002945F6" w:rsidP="002945F6">
      <w:pPr>
        <w:pStyle w:val="Referenciasbiblio"/>
        <w:rPr>
          <w:rFonts w:ascii="Times New Roman" w:hAnsi="Times New Roman" w:cs="Times New Roman"/>
          <w:color w:val="auto"/>
          <w:sz w:val="20"/>
          <w:szCs w:val="20"/>
          <w:lang w:val="en-AU" w:eastAsia="en-GB"/>
        </w:rPr>
      </w:pPr>
      <w:r w:rsidRPr="00CB5618">
        <w:rPr>
          <w:rFonts w:ascii="Times New Roman" w:hAnsi="Times New Roman" w:cs="Times New Roman"/>
          <w:color w:val="auto"/>
          <w:sz w:val="20"/>
          <w:szCs w:val="20"/>
          <w:lang w:val="en-AU" w:eastAsia="en-GB"/>
        </w:rPr>
        <w:t xml:space="preserve">Batista E., Almeida N., Godinho I., Filipe E., </w:t>
      </w:r>
      <w:r w:rsidRPr="008F6231">
        <w:rPr>
          <w:rFonts w:ascii="Times New Roman" w:hAnsi="Times New Roman" w:cs="Times New Roman"/>
          <w:i/>
          <w:color w:val="auto"/>
          <w:sz w:val="20"/>
          <w:szCs w:val="20"/>
          <w:lang w:val="en-AU" w:eastAsia="en-GB"/>
        </w:rPr>
        <w:t>Uncertainty calculation in gravimetric microflow measurements</w:t>
      </w:r>
      <w:r w:rsidRPr="00CB5618">
        <w:rPr>
          <w:rFonts w:ascii="Times New Roman" w:hAnsi="Times New Roman" w:cs="Times New Roman"/>
          <w:color w:val="auto"/>
          <w:sz w:val="20"/>
          <w:szCs w:val="20"/>
          <w:lang w:val="en-AU" w:eastAsia="en-GB"/>
        </w:rPr>
        <w:t>, AMCTM X, 2015</w:t>
      </w:r>
    </w:p>
    <w:p w14:paraId="0E692172" w14:textId="77777777" w:rsidR="004B08D5" w:rsidRDefault="004B08D5" w:rsidP="0057048C">
      <w:pPr>
        <w:pStyle w:val="Text"/>
        <w:spacing w:before="240" w:after="240"/>
        <w:rPr>
          <w:rFonts w:ascii="Times New Roman" w:hAnsi="Times New Roman" w:cs="Times New Roman"/>
          <w:b/>
          <w:sz w:val="20"/>
          <w:szCs w:val="20"/>
          <w:lang w:val="en-US"/>
        </w:rPr>
      </w:pPr>
    </w:p>
    <w:p w14:paraId="64A31BEA" w14:textId="77777777" w:rsidR="0057048C" w:rsidRPr="00851EBC" w:rsidRDefault="0057048C" w:rsidP="0057048C">
      <w:pPr>
        <w:pStyle w:val="Text"/>
        <w:spacing w:before="240" w:after="240"/>
        <w:rPr>
          <w:rFonts w:ascii="Times New Roman" w:hAnsi="Times New Roman" w:cs="Times New Roman"/>
          <w:b/>
          <w:sz w:val="20"/>
          <w:szCs w:val="20"/>
          <w:lang w:val="en-US"/>
        </w:rPr>
      </w:pPr>
      <w:r w:rsidRPr="00851EBC">
        <w:rPr>
          <w:rFonts w:ascii="Times New Roman" w:hAnsi="Times New Roman" w:cs="Times New Roman"/>
          <w:b/>
          <w:sz w:val="20"/>
          <w:szCs w:val="20"/>
          <w:lang w:val="en-US"/>
        </w:rPr>
        <w:t>Acknowledgement</w:t>
      </w:r>
    </w:p>
    <w:p w14:paraId="6072C010" w14:textId="77777777" w:rsidR="0057048C" w:rsidRPr="0057048C" w:rsidRDefault="0057048C" w:rsidP="0057048C">
      <w:pPr>
        <w:autoSpaceDE w:val="0"/>
        <w:autoSpaceDN w:val="0"/>
        <w:adjustRightInd w:val="0"/>
        <w:jc w:val="both"/>
        <w:rPr>
          <w:sz w:val="20"/>
        </w:rPr>
      </w:pPr>
      <w:r>
        <w:rPr>
          <w:sz w:val="20"/>
        </w:rPr>
        <w:t>The EMPIR</w:t>
      </w:r>
      <w:r w:rsidRPr="0057048C">
        <w:rPr>
          <w:sz w:val="20"/>
        </w:rPr>
        <w:t xml:space="preserve"> project “</w:t>
      </w:r>
      <w:r>
        <w:rPr>
          <w:sz w:val="20"/>
        </w:rPr>
        <w:t>15SIP03 – Infusion Uptake</w:t>
      </w:r>
      <w:r w:rsidRPr="0057048C">
        <w:rPr>
          <w:sz w:val="20"/>
        </w:rPr>
        <w:t xml:space="preserve">” is carried out with funding </w:t>
      </w:r>
      <w:r w:rsidR="0019678F">
        <w:rPr>
          <w:sz w:val="20"/>
        </w:rPr>
        <w:t>of</w:t>
      </w:r>
      <w:r w:rsidRPr="0057048C">
        <w:rPr>
          <w:sz w:val="20"/>
        </w:rPr>
        <w:t xml:space="preserve"> European Union under the </w:t>
      </w:r>
      <w:r>
        <w:rPr>
          <w:sz w:val="20"/>
        </w:rPr>
        <w:t>EMPIR. The EMPIR</w:t>
      </w:r>
      <w:r w:rsidRPr="0057048C">
        <w:rPr>
          <w:sz w:val="20"/>
        </w:rPr>
        <w:t xml:space="preserve"> is jointly funded by the </w:t>
      </w:r>
      <w:r>
        <w:rPr>
          <w:sz w:val="20"/>
        </w:rPr>
        <w:t xml:space="preserve">EMPIR </w:t>
      </w:r>
      <w:r w:rsidRPr="0057048C">
        <w:rPr>
          <w:sz w:val="20"/>
        </w:rPr>
        <w:t>participating countries within EURAMET and the European Union.</w:t>
      </w:r>
    </w:p>
    <w:p w14:paraId="2D3F20C5" w14:textId="77777777" w:rsidR="00D370DE" w:rsidRPr="0057048C" w:rsidRDefault="00D370DE">
      <w:pPr>
        <w:pStyle w:val="Corpodetexto"/>
        <w:rPr>
          <w:lang w:val="en-US"/>
        </w:rPr>
      </w:pPr>
    </w:p>
    <w:p w14:paraId="69D9022D" w14:textId="77777777" w:rsidR="00B21BA8" w:rsidRDefault="00B21BA8" w:rsidP="00B21BA8">
      <w:pPr>
        <w:pStyle w:val="Corpodetexto"/>
        <w:ind w:left="426"/>
      </w:pPr>
      <w:r>
        <w:br/>
      </w:r>
    </w:p>
    <w:p w14:paraId="453565AB" w14:textId="77777777" w:rsidR="005F2C46" w:rsidRDefault="005F2C46">
      <w:pPr>
        <w:pStyle w:val="Corpodetexto"/>
      </w:pPr>
    </w:p>
    <w:sectPr w:rsidR="005F2C46" w:rsidSect="00A86C33">
      <w:footerReference w:type="default" r:id="rId17"/>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35D0D" w14:textId="77777777" w:rsidR="00370AA0" w:rsidRDefault="00370AA0" w:rsidP="00B370F7">
      <w:r>
        <w:separator/>
      </w:r>
    </w:p>
  </w:endnote>
  <w:endnote w:type="continuationSeparator" w:id="0">
    <w:p w14:paraId="124569CF" w14:textId="77777777" w:rsidR="00370AA0" w:rsidRDefault="00370AA0"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E2C11" w14:textId="77777777" w:rsidR="009F1661" w:rsidRPr="00B370F7" w:rsidRDefault="009F1661" w:rsidP="005C07BE">
    <w:pPr>
      <w:pStyle w:val="Rodap"/>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A7622D" w:rsidRPr="00B370F7">
      <w:rPr>
        <w:sz w:val="20"/>
      </w:rPr>
      <w:fldChar w:fldCharType="begin"/>
    </w:r>
    <w:r w:rsidRPr="00B370F7">
      <w:rPr>
        <w:sz w:val="20"/>
      </w:rPr>
      <w:instrText xml:space="preserve"> PAGE   \* MERGEFORMAT </w:instrText>
    </w:r>
    <w:r w:rsidR="00A7622D" w:rsidRPr="00B370F7">
      <w:rPr>
        <w:sz w:val="20"/>
      </w:rPr>
      <w:fldChar w:fldCharType="separate"/>
    </w:r>
    <w:r w:rsidR="009A4E96">
      <w:rPr>
        <w:noProof/>
        <w:sz w:val="20"/>
      </w:rPr>
      <w:t>1</w:t>
    </w:r>
    <w:r w:rsidR="00A7622D"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1022" w14:textId="77777777" w:rsidR="009F1661" w:rsidRPr="00250D41" w:rsidRDefault="009F1661" w:rsidP="00250D41">
    <w:pPr>
      <w:pStyle w:val="Rodap"/>
      <w:tabs>
        <w:tab w:val="right" w:pos="9781"/>
      </w:tabs>
      <w:rPr>
        <w:sz w:val="20"/>
      </w:rPr>
    </w:pPr>
  </w:p>
  <w:p w14:paraId="2F7ECB42" w14:textId="77777777" w:rsidR="009F1661" w:rsidRPr="00B370F7" w:rsidRDefault="009F1661" w:rsidP="00250D41">
    <w:pPr>
      <w:pStyle w:val="Rodap"/>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A7622D" w:rsidRPr="00B370F7">
      <w:rPr>
        <w:sz w:val="20"/>
      </w:rPr>
      <w:fldChar w:fldCharType="begin"/>
    </w:r>
    <w:r w:rsidRPr="00B370F7">
      <w:rPr>
        <w:sz w:val="20"/>
      </w:rPr>
      <w:instrText xml:space="preserve"> PAGE   \* MERGEFORMAT </w:instrText>
    </w:r>
    <w:r w:rsidR="00A7622D" w:rsidRPr="00B370F7">
      <w:rPr>
        <w:sz w:val="20"/>
      </w:rPr>
      <w:fldChar w:fldCharType="separate"/>
    </w:r>
    <w:r w:rsidR="009A4E96">
      <w:rPr>
        <w:noProof/>
        <w:sz w:val="20"/>
      </w:rPr>
      <w:t>4</w:t>
    </w:r>
    <w:r w:rsidR="00A7622D" w:rsidRPr="00B370F7">
      <w:rPr>
        <w:noProof/>
        <w:sz w:val="20"/>
      </w:rPr>
      <w:fldChar w:fldCharType="end"/>
    </w:r>
  </w:p>
  <w:p w14:paraId="2E4873D3" w14:textId="77777777" w:rsidR="009F1661" w:rsidRDefault="009F16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44AC" w14:textId="77777777" w:rsidR="00370AA0" w:rsidRDefault="00370AA0" w:rsidP="00B370F7">
      <w:r>
        <w:separator/>
      </w:r>
    </w:p>
  </w:footnote>
  <w:footnote w:type="continuationSeparator" w:id="0">
    <w:p w14:paraId="7E5B3453" w14:textId="77777777" w:rsidR="00370AA0" w:rsidRDefault="00370AA0"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3E417C4B"/>
    <w:multiLevelType w:val="hybridMultilevel"/>
    <w:tmpl w:val="2B665EA6"/>
    <w:lvl w:ilvl="0" w:tplc="EC0E83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586F1A"/>
    <w:multiLevelType w:val="hybridMultilevel"/>
    <w:tmpl w:val="FCE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F28E2"/>
    <w:multiLevelType w:val="hybridMultilevel"/>
    <w:tmpl w:val="52CCD1D6"/>
    <w:lvl w:ilvl="0" w:tplc="9D7E8A92">
      <w:start w:val="1"/>
      <w:numFmt w:val="decimal"/>
      <w:lvlText w:val="%1."/>
      <w:lvlJc w:val="left"/>
      <w:pPr>
        <w:tabs>
          <w:tab w:val="num" w:pos="720"/>
        </w:tabs>
        <w:ind w:left="720" w:hanging="360"/>
      </w:pPr>
      <w:rPr>
        <w:rFonts w:ascii="Tahoma" w:hAnsi="Tahoma" w:cs="Tahoma" w:hint="default"/>
        <w:sz w:val="20"/>
        <w:szCs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5">
    <w:nsid w:val="530E0096"/>
    <w:multiLevelType w:val="hybridMultilevel"/>
    <w:tmpl w:val="3AA0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04C44"/>
    <w:multiLevelType w:val="hybridMultilevel"/>
    <w:tmpl w:val="D0BE9A9C"/>
    <w:lvl w:ilvl="0" w:tplc="023AEC00">
      <w:start w:val="1"/>
      <w:numFmt w:val="decimal"/>
      <w:pStyle w:val="Referenciasbiblio"/>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D0E7254"/>
    <w:multiLevelType w:val="hybridMultilevel"/>
    <w:tmpl w:val="C2B2DD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3905"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E7F46B0"/>
    <w:multiLevelType w:val="hybridMultilevel"/>
    <w:tmpl w:val="81A295E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9C8443E"/>
    <w:multiLevelType w:val="hybridMultilevel"/>
    <w:tmpl w:val="CC70A414"/>
    <w:lvl w:ilvl="0" w:tplc="AD7271D4">
      <w:start w:val="1"/>
      <w:numFmt w:val="decimal"/>
      <w:lvlText w:val="[%1]"/>
      <w:lvlJc w:val="left"/>
      <w:pPr>
        <w:ind w:left="360" w:hanging="360"/>
      </w:pPr>
      <w:rPr>
        <w:rFonts w:ascii="Arial" w:hAnsi="Arial" w:cs="Arial" w:hint="default"/>
        <w:b w:val="0"/>
        <w:sz w:val="20"/>
        <w:szCs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1"/>
  </w:num>
  <w:num w:numId="4">
    <w:abstractNumId w:val="9"/>
  </w:num>
  <w:num w:numId="5">
    <w:abstractNumId w:val="6"/>
  </w:num>
  <w:num w:numId="6">
    <w:abstractNumId w:val="1"/>
  </w:num>
  <w:num w:numId="7">
    <w:abstractNumId w:val="7"/>
  </w:num>
  <w:num w:numId="8">
    <w:abstractNumId w:val="5"/>
  </w:num>
  <w:num w:numId="9">
    <w:abstractNumId w:val="2"/>
  </w:num>
  <w:num w:numId="10">
    <w:abstractNumId w:val="3"/>
  </w:num>
  <w:num w:numId="11">
    <w:abstractNumId w:val="10"/>
  </w:num>
  <w:num w:numId="12">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furtado">
    <w15:presenceInfo w15:providerId="None" w15:userId="afurtado"/>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7B19"/>
    <w:rsid w:val="00016293"/>
    <w:rsid w:val="00016A13"/>
    <w:rsid w:val="000310F6"/>
    <w:rsid w:val="00040FC7"/>
    <w:rsid w:val="00055591"/>
    <w:rsid w:val="000B2FD9"/>
    <w:rsid w:val="000C2F67"/>
    <w:rsid w:val="00146D67"/>
    <w:rsid w:val="00167AA4"/>
    <w:rsid w:val="0019678F"/>
    <w:rsid w:val="001C6693"/>
    <w:rsid w:val="001C780C"/>
    <w:rsid w:val="001D6E23"/>
    <w:rsid w:val="00210A86"/>
    <w:rsid w:val="00245D23"/>
    <w:rsid w:val="00250D41"/>
    <w:rsid w:val="002548BB"/>
    <w:rsid w:val="00262AE5"/>
    <w:rsid w:val="0028688D"/>
    <w:rsid w:val="002918B0"/>
    <w:rsid w:val="002945F6"/>
    <w:rsid w:val="002A1917"/>
    <w:rsid w:val="002A73B9"/>
    <w:rsid w:val="002C20B2"/>
    <w:rsid w:val="002C68BA"/>
    <w:rsid w:val="002F4352"/>
    <w:rsid w:val="003053C2"/>
    <w:rsid w:val="003234BD"/>
    <w:rsid w:val="003329B2"/>
    <w:rsid w:val="003642D6"/>
    <w:rsid w:val="00370AA0"/>
    <w:rsid w:val="003A1ADD"/>
    <w:rsid w:val="003C0BF7"/>
    <w:rsid w:val="003D6491"/>
    <w:rsid w:val="00402A90"/>
    <w:rsid w:val="00402FE2"/>
    <w:rsid w:val="004300B7"/>
    <w:rsid w:val="0043307A"/>
    <w:rsid w:val="00457897"/>
    <w:rsid w:val="00466426"/>
    <w:rsid w:val="0047000C"/>
    <w:rsid w:val="00481C7F"/>
    <w:rsid w:val="004A31B5"/>
    <w:rsid w:val="004B08D5"/>
    <w:rsid w:val="004D1A4D"/>
    <w:rsid w:val="004D1A84"/>
    <w:rsid w:val="0057048C"/>
    <w:rsid w:val="005912E1"/>
    <w:rsid w:val="005B3B20"/>
    <w:rsid w:val="005B602B"/>
    <w:rsid w:val="005C07BE"/>
    <w:rsid w:val="005E225E"/>
    <w:rsid w:val="005F2C46"/>
    <w:rsid w:val="006248F6"/>
    <w:rsid w:val="00641DAC"/>
    <w:rsid w:val="00652840"/>
    <w:rsid w:val="00655AD4"/>
    <w:rsid w:val="00657F17"/>
    <w:rsid w:val="006672B4"/>
    <w:rsid w:val="006927F3"/>
    <w:rsid w:val="006B1CC1"/>
    <w:rsid w:val="006E08BC"/>
    <w:rsid w:val="006F12BB"/>
    <w:rsid w:val="00721A8E"/>
    <w:rsid w:val="00734777"/>
    <w:rsid w:val="00751B8D"/>
    <w:rsid w:val="007667C8"/>
    <w:rsid w:val="00786AFC"/>
    <w:rsid w:val="00793F3E"/>
    <w:rsid w:val="007974D7"/>
    <w:rsid w:val="007A4280"/>
    <w:rsid w:val="007B1FD5"/>
    <w:rsid w:val="007C55E2"/>
    <w:rsid w:val="007D2F6F"/>
    <w:rsid w:val="007D499A"/>
    <w:rsid w:val="007F73B3"/>
    <w:rsid w:val="00807BEF"/>
    <w:rsid w:val="00815774"/>
    <w:rsid w:val="00825F28"/>
    <w:rsid w:val="008337D0"/>
    <w:rsid w:val="008357DD"/>
    <w:rsid w:val="00841A2F"/>
    <w:rsid w:val="00851EBC"/>
    <w:rsid w:val="008812F8"/>
    <w:rsid w:val="008B1BEB"/>
    <w:rsid w:val="008B29EC"/>
    <w:rsid w:val="008B4239"/>
    <w:rsid w:val="008C22BB"/>
    <w:rsid w:val="008D6E77"/>
    <w:rsid w:val="008F1983"/>
    <w:rsid w:val="008F6231"/>
    <w:rsid w:val="00905079"/>
    <w:rsid w:val="009150A4"/>
    <w:rsid w:val="00942221"/>
    <w:rsid w:val="009432ED"/>
    <w:rsid w:val="00977641"/>
    <w:rsid w:val="00993244"/>
    <w:rsid w:val="009A4E96"/>
    <w:rsid w:val="009F1661"/>
    <w:rsid w:val="00A0063B"/>
    <w:rsid w:val="00A12E51"/>
    <w:rsid w:val="00A217DA"/>
    <w:rsid w:val="00A245A0"/>
    <w:rsid w:val="00A447E0"/>
    <w:rsid w:val="00A45D7A"/>
    <w:rsid w:val="00A666F4"/>
    <w:rsid w:val="00A67E0C"/>
    <w:rsid w:val="00A7622D"/>
    <w:rsid w:val="00A86C33"/>
    <w:rsid w:val="00AA4006"/>
    <w:rsid w:val="00AA55EF"/>
    <w:rsid w:val="00AB51F5"/>
    <w:rsid w:val="00AC1797"/>
    <w:rsid w:val="00AD1DE2"/>
    <w:rsid w:val="00AD7B4E"/>
    <w:rsid w:val="00AF5702"/>
    <w:rsid w:val="00B21A3B"/>
    <w:rsid w:val="00B21BA8"/>
    <w:rsid w:val="00B23254"/>
    <w:rsid w:val="00B33C9D"/>
    <w:rsid w:val="00B370F7"/>
    <w:rsid w:val="00B45E05"/>
    <w:rsid w:val="00B52AAB"/>
    <w:rsid w:val="00B56E22"/>
    <w:rsid w:val="00B61B72"/>
    <w:rsid w:val="00B64A15"/>
    <w:rsid w:val="00B8734B"/>
    <w:rsid w:val="00BB1D64"/>
    <w:rsid w:val="00BC1ABE"/>
    <w:rsid w:val="00BE135B"/>
    <w:rsid w:val="00BE2A1A"/>
    <w:rsid w:val="00C0274C"/>
    <w:rsid w:val="00C627EE"/>
    <w:rsid w:val="00CB5618"/>
    <w:rsid w:val="00CC101B"/>
    <w:rsid w:val="00CC244D"/>
    <w:rsid w:val="00D0073E"/>
    <w:rsid w:val="00D075D7"/>
    <w:rsid w:val="00D13359"/>
    <w:rsid w:val="00D3391B"/>
    <w:rsid w:val="00D370DE"/>
    <w:rsid w:val="00D738F7"/>
    <w:rsid w:val="00DB7AA3"/>
    <w:rsid w:val="00DC45E7"/>
    <w:rsid w:val="00DE14FD"/>
    <w:rsid w:val="00E00706"/>
    <w:rsid w:val="00E163AB"/>
    <w:rsid w:val="00E16EC7"/>
    <w:rsid w:val="00E34C3D"/>
    <w:rsid w:val="00E71401"/>
    <w:rsid w:val="00EA23E6"/>
    <w:rsid w:val="00EA6110"/>
    <w:rsid w:val="00EC46CC"/>
    <w:rsid w:val="00ED26DE"/>
    <w:rsid w:val="00EF5AB5"/>
    <w:rsid w:val="00EF67FA"/>
    <w:rsid w:val="00F1511B"/>
    <w:rsid w:val="00F3747C"/>
    <w:rsid w:val="00F62060"/>
    <w:rsid w:val="00F863AF"/>
    <w:rsid w:val="00F96FF1"/>
    <w:rsid w:val="00F97F5E"/>
    <w:rsid w:val="00FA5BEB"/>
    <w:rsid w:val="00FC16D4"/>
    <w:rsid w:val="00FC1BA3"/>
    <w:rsid w:val="00FC6E9D"/>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AC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B2"/>
    <w:rPr>
      <w:sz w:val="24"/>
      <w:lang w:val="en-AU" w:eastAsia="en-GB"/>
    </w:rPr>
  </w:style>
  <w:style w:type="paragraph" w:styleId="Cabealho1">
    <w:name w:val="heading 1"/>
    <w:basedOn w:val="Normal"/>
    <w:next w:val="Normal"/>
    <w:link w:val="Cabealho1Carcter"/>
    <w:qFormat/>
    <w:rsid w:val="002C20B2"/>
    <w:pPr>
      <w:keepNext/>
      <w:outlineLvl w:val="0"/>
    </w:pPr>
    <w:rPr>
      <w:b/>
      <w:sz w:val="20"/>
    </w:rPr>
  </w:style>
  <w:style w:type="paragraph" w:styleId="Cabealho2">
    <w:name w:val="heading 2"/>
    <w:basedOn w:val="Normal"/>
    <w:next w:val="Normal"/>
    <w:qFormat/>
    <w:rsid w:val="002C20B2"/>
    <w:pPr>
      <w:keepNext/>
      <w:outlineLvl w:val="1"/>
    </w:pPr>
    <w:rPr>
      <w: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qFormat/>
    <w:rsid w:val="002C20B2"/>
    <w:pPr>
      <w:spacing w:before="120" w:after="120"/>
      <w:jc w:val="both"/>
    </w:pPr>
    <w:rPr>
      <w:b/>
      <w:sz w:val="16"/>
    </w:rPr>
  </w:style>
  <w:style w:type="paragraph" w:styleId="Corpodetexto">
    <w:name w:val="Body Text"/>
    <w:basedOn w:val="Normal"/>
    <w:rsid w:val="002C20B2"/>
    <w:pPr>
      <w:jc w:val="both"/>
    </w:pPr>
    <w:rPr>
      <w:sz w:val="20"/>
    </w:rPr>
  </w:style>
  <w:style w:type="paragraph" w:styleId="Ttulo">
    <w:name w:val="Title"/>
    <w:basedOn w:val="Normal"/>
    <w:qFormat/>
    <w:rsid w:val="002C20B2"/>
    <w:pPr>
      <w:jc w:val="center"/>
    </w:pPr>
    <w:rPr>
      <w:b/>
      <w:sz w:val="36"/>
    </w:rPr>
  </w:style>
  <w:style w:type="paragraph" w:styleId="Avanodecorpodetexto">
    <w:name w:val="Body Text Indent"/>
    <w:basedOn w:val="Normal"/>
    <w:rsid w:val="002C20B2"/>
    <w:pPr>
      <w:ind w:left="360"/>
    </w:pPr>
  </w:style>
  <w:style w:type="paragraph" w:styleId="PargrafodaLista">
    <w:name w:val="List Paragraph"/>
    <w:basedOn w:val="Normal"/>
    <w:uiPriority w:val="34"/>
    <w:qFormat/>
    <w:rsid w:val="00B21BA8"/>
    <w:pPr>
      <w:ind w:left="720"/>
    </w:pPr>
  </w:style>
  <w:style w:type="paragraph" w:styleId="Cabealho">
    <w:name w:val="header"/>
    <w:basedOn w:val="Normal"/>
    <w:link w:val="CabealhoCarcter"/>
    <w:rsid w:val="00B370F7"/>
    <w:pPr>
      <w:tabs>
        <w:tab w:val="center" w:pos="4513"/>
        <w:tab w:val="right" w:pos="9026"/>
      </w:tabs>
    </w:pPr>
  </w:style>
  <w:style w:type="character" w:customStyle="1" w:styleId="CabealhoCarcter">
    <w:name w:val="Cabeçalho Carácter"/>
    <w:link w:val="Cabealho"/>
    <w:rsid w:val="00B370F7"/>
    <w:rPr>
      <w:sz w:val="24"/>
      <w:lang w:val="en-AU" w:eastAsia="en-GB"/>
    </w:rPr>
  </w:style>
  <w:style w:type="paragraph" w:styleId="Rodap">
    <w:name w:val="footer"/>
    <w:basedOn w:val="Normal"/>
    <w:link w:val="RodapCarcter"/>
    <w:rsid w:val="00B370F7"/>
    <w:pPr>
      <w:tabs>
        <w:tab w:val="center" w:pos="4513"/>
        <w:tab w:val="right" w:pos="9026"/>
      </w:tabs>
    </w:pPr>
  </w:style>
  <w:style w:type="character" w:customStyle="1" w:styleId="RodapCarcter">
    <w:name w:val="Rodapé Carácter"/>
    <w:link w:val="Rodap"/>
    <w:rsid w:val="00B370F7"/>
    <w:rPr>
      <w:sz w:val="24"/>
      <w:lang w:val="en-AU" w:eastAsia="en-GB"/>
    </w:rPr>
  </w:style>
  <w:style w:type="paragraph" w:styleId="Textodebalo">
    <w:name w:val="Balloon Text"/>
    <w:basedOn w:val="Normal"/>
    <w:link w:val="TextodebaloCarcter"/>
    <w:rsid w:val="00250D41"/>
    <w:rPr>
      <w:rFonts w:ascii="Tahoma" w:hAnsi="Tahoma" w:cs="Tahoma"/>
      <w:sz w:val="16"/>
      <w:szCs w:val="16"/>
    </w:rPr>
  </w:style>
  <w:style w:type="character" w:customStyle="1" w:styleId="TextodebaloCarcter">
    <w:name w:val="Texto de balão Carácter"/>
    <w:basedOn w:val="Tipodeletrapredefinidodopargrafo"/>
    <w:link w:val="Textodebalo"/>
    <w:rsid w:val="00250D41"/>
    <w:rPr>
      <w:rFonts w:ascii="Tahoma" w:hAnsi="Tahoma" w:cs="Tahoma"/>
      <w:sz w:val="16"/>
      <w:szCs w:val="16"/>
      <w:lang w:val="en-AU" w:eastAsia="en-GB"/>
    </w:rPr>
  </w:style>
  <w:style w:type="character" w:styleId="TextodoMarcadordePosio">
    <w:name w:val="Placeholder Text"/>
    <w:basedOn w:val="Tipodeletrapredefinidodopargrafo"/>
    <w:uiPriority w:val="99"/>
    <w:semiHidden/>
    <w:rsid w:val="00250D41"/>
    <w:rPr>
      <w:color w:val="808080"/>
    </w:rPr>
  </w:style>
  <w:style w:type="character" w:styleId="Hiperligao">
    <w:name w:val="Hyperlink"/>
    <w:basedOn w:val="Tipodeletrapredefinidodopargrafo"/>
    <w:rsid w:val="00250D41"/>
    <w:rPr>
      <w:color w:val="0000FF" w:themeColor="hyperlink"/>
      <w:u w:val="single"/>
    </w:rPr>
  </w:style>
  <w:style w:type="character" w:styleId="Hiperligaovisitada">
    <w:name w:val="FollowedHyperlink"/>
    <w:basedOn w:val="Tipodeletrapredefinidodopargrafo"/>
    <w:rsid w:val="00A86C33"/>
    <w:rPr>
      <w:color w:val="800080" w:themeColor="followedHyperlink"/>
      <w:u w:val="single"/>
    </w:rPr>
  </w:style>
  <w:style w:type="character" w:customStyle="1" w:styleId="Cabealho1Carcter">
    <w:name w:val="Cabeçalho 1 Carácter"/>
    <w:basedOn w:val="Tipodeletrapredefinidodopargrafo"/>
    <w:link w:val="Cabealho1"/>
    <w:rsid w:val="00016A13"/>
    <w:rPr>
      <w:b/>
      <w:lang w:val="en-AU" w:eastAsia="en-GB"/>
    </w:rPr>
  </w:style>
  <w:style w:type="paragraph" w:customStyle="1" w:styleId="EstiloTtulo1TahomaNegritoEsquerda">
    <w:name w:val="Estilo Título 1 + Tahoma Negrito Esquerda"/>
    <w:basedOn w:val="Normal"/>
    <w:autoRedefine/>
    <w:rsid w:val="00BE135B"/>
    <w:pPr>
      <w:keepNext/>
      <w:spacing w:before="240" w:after="120"/>
      <w:outlineLvl w:val="0"/>
    </w:pPr>
    <w:rPr>
      <w:rFonts w:ascii="Tahoma" w:hAnsi="Tahoma"/>
      <w:b/>
      <w:bCs/>
      <w:szCs w:val="24"/>
      <w:lang w:val="en-GB" w:eastAsia="en-US"/>
    </w:rPr>
  </w:style>
  <w:style w:type="paragraph" w:customStyle="1" w:styleId="EstiloTtulo2Tahoma">
    <w:name w:val="Estilo Título 2 + Tahoma"/>
    <w:basedOn w:val="Normal"/>
    <w:autoRedefine/>
    <w:rsid w:val="0043307A"/>
    <w:pPr>
      <w:keepNext/>
      <w:spacing w:before="240" w:after="120"/>
      <w:jc w:val="both"/>
      <w:outlineLvl w:val="1"/>
    </w:pPr>
    <w:rPr>
      <w:rFonts w:ascii="Tahoma" w:hAnsi="Tahoma"/>
      <w:bCs/>
      <w:sz w:val="22"/>
      <w:u w:val="single"/>
      <w:lang w:val="en-GB" w:eastAsia="en-US"/>
    </w:rPr>
  </w:style>
  <w:style w:type="paragraph" w:customStyle="1" w:styleId="Referenciasbiblio">
    <w:name w:val="Referencias biblio"/>
    <w:basedOn w:val="Corpodetexto"/>
    <w:autoRedefine/>
    <w:rsid w:val="00CB5618"/>
    <w:pPr>
      <w:numPr>
        <w:numId w:val="5"/>
      </w:numPr>
      <w:spacing w:after="120"/>
      <w:ind w:left="426" w:hanging="426"/>
    </w:pPr>
    <w:rPr>
      <w:rFonts w:ascii="Tahoma" w:hAnsi="Tahoma" w:cs="Tahoma"/>
      <w:color w:val="000000"/>
      <w:sz w:val="22"/>
      <w:szCs w:val="22"/>
      <w:lang w:val="en-US" w:eastAsia="en-US"/>
    </w:rPr>
  </w:style>
  <w:style w:type="character" w:customStyle="1" w:styleId="Bibliogrphy">
    <w:name w:val="Bibliogrphy"/>
    <w:basedOn w:val="Tipodeletrapredefinidodopargrafo"/>
    <w:rsid w:val="00D370DE"/>
  </w:style>
  <w:style w:type="paragraph" w:customStyle="1" w:styleId="Text">
    <w:name w:val="Text"/>
    <w:rsid w:val="0057048C"/>
    <w:pPr>
      <w:jc w:val="both"/>
    </w:pPr>
    <w:rPr>
      <w:rFonts w:ascii="Helvetica" w:eastAsia="Arial Unicode MS" w:hAnsi="Arial Unicode MS" w:cs="Arial Unicode MS"/>
      <w:color w:val="000000"/>
      <w:sz w:val="24"/>
      <w:szCs w:val="24"/>
      <w:lang w:val="de-DE" w:eastAsia="da-DK"/>
    </w:rPr>
  </w:style>
  <w:style w:type="character" w:customStyle="1" w:styleId="apple-converted-space">
    <w:name w:val="apple-converted-space"/>
    <w:basedOn w:val="Tipodeletrapredefinidodopargrafo"/>
    <w:rsid w:val="00B61B72"/>
  </w:style>
  <w:style w:type="character" w:styleId="nfase">
    <w:name w:val="Emphasis"/>
    <w:basedOn w:val="Tipodeletrapredefinidodopargrafo"/>
    <w:uiPriority w:val="20"/>
    <w:qFormat/>
    <w:rsid w:val="00B61B72"/>
    <w:rPr>
      <w:i/>
      <w:iCs/>
    </w:rPr>
  </w:style>
  <w:style w:type="character" w:styleId="Refdecomentrio">
    <w:name w:val="annotation reference"/>
    <w:basedOn w:val="Tipodeletrapredefinidodopargrafo"/>
    <w:semiHidden/>
    <w:unhideWhenUsed/>
    <w:rsid w:val="009F1661"/>
    <w:rPr>
      <w:sz w:val="16"/>
      <w:szCs w:val="16"/>
    </w:rPr>
  </w:style>
  <w:style w:type="paragraph" w:styleId="Textodecomentrio">
    <w:name w:val="annotation text"/>
    <w:basedOn w:val="Normal"/>
    <w:link w:val="TextodecomentrioCarcter"/>
    <w:semiHidden/>
    <w:unhideWhenUsed/>
    <w:rsid w:val="009F1661"/>
    <w:rPr>
      <w:sz w:val="20"/>
    </w:rPr>
  </w:style>
  <w:style w:type="character" w:customStyle="1" w:styleId="TextodecomentrioCarcter">
    <w:name w:val="Texto de comentário Carácter"/>
    <w:basedOn w:val="Tipodeletrapredefinidodopargrafo"/>
    <w:link w:val="Textodecomentrio"/>
    <w:semiHidden/>
    <w:rsid w:val="009F1661"/>
    <w:rPr>
      <w:lang w:val="en-AU" w:eastAsia="en-GB"/>
    </w:rPr>
  </w:style>
  <w:style w:type="paragraph" w:styleId="Assuntodecomentrio">
    <w:name w:val="annotation subject"/>
    <w:basedOn w:val="Textodecomentrio"/>
    <w:next w:val="Textodecomentrio"/>
    <w:link w:val="AssuntodecomentrioCarcter"/>
    <w:semiHidden/>
    <w:unhideWhenUsed/>
    <w:rsid w:val="009F1661"/>
    <w:rPr>
      <w:b/>
      <w:bCs/>
    </w:rPr>
  </w:style>
  <w:style w:type="character" w:customStyle="1" w:styleId="AssuntodecomentrioCarcter">
    <w:name w:val="Assunto de comentário Carácter"/>
    <w:basedOn w:val="TextodecomentrioCarcter"/>
    <w:link w:val="Assuntodecomentrio"/>
    <w:semiHidden/>
    <w:rsid w:val="009F1661"/>
    <w:rPr>
      <w:b/>
      <w:bCs/>
      <w:lang w:val="en-AU" w:eastAsia="en-GB"/>
    </w:rPr>
  </w:style>
  <w:style w:type="paragraph" w:styleId="Reviso">
    <w:name w:val="Revision"/>
    <w:hidden/>
    <w:uiPriority w:val="99"/>
    <w:semiHidden/>
    <w:rsid w:val="009F1661"/>
    <w:rPr>
      <w:sz w:val="24"/>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B2"/>
    <w:rPr>
      <w:sz w:val="24"/>
      <w:lang w:val="en-AU" w:eastAsia="en-GB"/>
    </w:rPr>
  </w:style>
  <w:style w:type="paragraph" w:styleId="Cabealho1">
    <w:name w:val="heading 1"/>
    <w:basedOn w:val="Normal"/>
    <w:next w:val="Normal"/>
    <w:link w:val="Cabealho1Carcter"/>
    <w:qFormat/>
    <w:rsid w:val="002C20B2"/>
    <w:pPr>
      <w:keepNext/>
      <w:outlineLvl w:val="0"/>
    </w:pPr>
    <w:rPr>
      <w:b/>
      <w:sz w:val="20"/>
    </w:rPr>
  </w:style>
  <w:style w:type="paragraph" w:styleId="Cabealho2">
    <w:name w:val="heading 2"/>
    <w:basedOn w:val="Normal"/>
    <w:next w:val="Normal"/>
    <w:qFormat/>
    <w:rsid w:val="002C20B2"/>
    <w:pPr>
      <w:keepNext/>
      <w:outlineLvl w:val="1"/>
    </w:pPr>
    <w:rPr>
      <w: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qFormat/>
    <w:rsid w:val="002C20B2"/>
    <w:pPr>
      <w:spacing w:before="120" w:after="120"/>
      <w:jc w:val="both"/>
    </w:pPr>
    <w:rPr>
      <w:b/>
      <w:sz w:val="16"/>
    </w:rPr>
  </w:style>
  <w:style w:type="paragraph" w:styleId="Corpodetexto">
    <w:name w:val="Body Text"/>
    <w:basedOn w:val="Normal"/>
    <w:rsid w:val="002C20B2"/>
    <w:pPr>
      <w:jc w:val="both"/>
    </w:pPr>
    <w:rPr>
      <w:sz w:val="20"/>
    </w:rPr>
  </w:style>
  <w:style w:type="paragraph" w:styleId="Ttulo">
    <w:name w:val="Title"/>
    <w:basedOn w:val="Normal"/>
    <w:qFormat/>
    <w:rsid w:val="002C20B2"/>
    <w:pPr>
      <w:jc w:val="center"/>
    </w:pPr>
    <w:rPr>
      <w:b/>
      <w:sz w:val="36"/>
    </w:rPr>
  </w:style>
  <w:style w:type="paragraph" w:styleId="Avanodecorpodetexto">
    <w:name w:val="Body Text Indent"/>
    <w:basedOn w:val="Normal"/>
    <w:rsid w:val="002C20B2"/>
    <w:pPr>
      <w:ind w:left="360"/>
    </w:pPr>
  </w:style>
  <w:style w:type="paragraph" w:styleId="PargrafodaLista">
    <w:name w:val="List Paragraph"/>
    <w:basedOn w:val="Normal"/>
    <w:uiPriority w:val="34"/>
    <w:qFormat/>
    <w:rsid w:val="00B21BA8"/>
    <w:pPr>
      <w:ind w:left="720"/>
    </w:pPr>
  </w:style>
  <w:style w:type="paragraph" w:styleId="Cabealho">
    <w:name w:val="header"/>
    <w:basedOn w:val="Normal"/>
    <w:link w:val="CabealhoCarcter"/>
    <w:rsid w:val="00B370F7"/>
    <w:pPr>
      <w:tabs>
        <w:tab w:val="center" w:pos="4513"/>
        <w:tab w:val="right" w:pos="9026"/>
      </w:tabs>
    </w:pPr>
  </w:style>
  <w:style w:type="character" w:customStyle="1" w:styleId="CabealhoCarcter">
    <w:name w:val="Cabeçalho Carácter"/>
    <w:link w:val="Cabealho"/>
    <w:rsid w:val="00B370F7"/>
    <w:rPr>
      <w:sz w:val="24"/>
      <w:lang w:val="en-AU" w:eastAsia="en-GB"/>
    </w:rPr>
  </w:style>
  <w:style w:type="paragraph" w:styleId="Rodap">
    <w:name w:val="footer"/>
    <w:basedOn w:val="Normal"/>
    <w:link w:val="RodapCarcter"/>
    <w:rsid w:val="00B370F7"/>
    <w:pPr>
      <w:tabs>
        <w:tab w:val="center" w:pos="4513"/>
        <w:tab w:val="right" w:pos="9026"/>
      </w:tabs>
    </w:pPr>
  </w:style>
  <w:style w:type="character" w:customStyle="1" w:styleId="RodapCarcter">
    <w:name w:val="Rodapé Carácter"/>
    <w:link w:val="Rodap"/>
    <w:rsid w:val="00B370F7"/>
    <w:rPr>
      <w:sz w:val="24"/>
      <w:lang w:val="en-AU" w:eastAsia="en-GB"/>
    </w:rPr>
  </w:style>
  <w:style w:type="paragraph" w:styleId="Textodebalo">
    <w:name w:val="Balloon Text"/>
    <w:basedOn w:val="Normal"/>
    <w:link w:val="TextodebaloCarcter"/>
    <w:rsid w:val="00250D41"/>
    <w:rPr>
      <w:rFonts w:ascii="Tahoma" w:hAnsi="Tahoma" w:cs="Tahoma"/>
      <w:sz w:val="16"/>
      <w:szCs w:val="16"/>
    </w:rPr>
  </w:style>
  <w:style w:type="character" w:customStyle="1" w:styleId="TextodebaloCarcter">
    <w:name w:val="Texto de balão Carácter"/>
    <w:basedOn w:val="Tipodeletrapredefinidodopargrafo"/>
    <w:link w:val="Textodebalo"/>
    <w:rsid w:val="00250D41"/>
    <w:rPr>
      <w:rFonts w:ascii="Tahoma" w:hAnsi="Tahoma" w:cs="Tahoma"/>
      <w:sz w:val="16"/>
      <w:szCs w:val="16"/>
      <w:lang w:val="en-AU" w:eastAsia="en-GB"/>
    </w:rPr>
  </w:style>
  <w:style w:type="character" w:styleId="TextodoMarcadordePosio">
    <w:name w:val="Placeholder Text"/>
    <w:basedOn w:val="Tipodeletrapredefinidodopargrafo"/>
    <w:uiPriority w:val="99"/>
    <w:semiHidden/>
    <w:rsid w:val="00250D41"/>
    <w:rPr>
      <w:color w:val="808080"/>
    </w:rPr>
  </w:style>
  <w:style w:type="character" w:styleId="Hiperligao">
    <w:name w:val="Hyperlink"/>
    <w:basedOn w:val="Tipodeletrapredefinidodopargrafo"/>
    <w:rsid w:val="00250D41"/>
    <w:rPr>
      <w:color w:val="0000FF" w:themeColor="hyperlink"/>
      <w:u w:val="single"/>
    </w:rPr>
  </w:style>
  <w:style w:type="character" w:styleId="Hiperligaovisitada">
    <w:name w:val="FollowedHyperlink"/>
    <w:basedOn w:val="Tipodeletrapredefinidodopargrafo"/>
    <w:rsid w:val="00A86C33"/>
    <w:rPr>
      <w:color w:val="800080" w:themeColor="followedHyperlink"/>
      <w:u w:val="single"/>
    </w:rPr>
  </w:style>
  <w:style w:type="character" w:customStyle="1" w:styleId="Cabealho1Carcter">
    <w:name w:val="Cabeçalho 1 Carácter"/>
    <w:basedOn w:val="Tipodeletrapredefinidodopargrafo"/>
    <w:link w:val="Cabealho1"/>
    <w:rsid w:val="00016A13"/>
    <w:rPr>
      <w:b/>
      <w:lang w:val="en-AU" w:eastAsia="en-GB"/>
    </w:rPr>
  </w:style>
  <w:style w:type="paragraph" w:customStyle="1" w:styleId="EstiloTtulo1TahomaNegritoEsquerda">
    <w:name w:val="Estilo Título 1 + Tahoma Negrito Esquerda"/>
    <w:basedOn w:val="Normal"/>
    <w:autoRedefine/>
    <w:rsid w:val="00BE135B"/>
    <w:pPr>
      <w:keepNext/>
      <w:spacing w:before="240" w:after="120"/>
      <w:outlineLvl w:val="0"/>
    </w:pPr>
    <w:rPr>
      <w:rFonts w:ascii="Tahoma" w:hAnsi="Tahoma"/>
      <w:b/>
      <w:bCs/>
      <w:szCs w:val="24"/>
      <w:lang w:val="en-GB" w:eastAsia="en-US"/>
    </w:rPr>
  </w:style>
  <w:style w:type="paragraph" w:customStyle="1" w:styleId="EstiloTtulo2Tahoma">
    <w:name w:val="Estilo Título 2 + Tahoma"/>
    <w:basedOn w:val="Normal"/>
    <w:autoRedefine/>
    <w:rsid w:val="0043307A"/>
    <w:pPr>
      <w:keepNext/>
      <w:spacing w:before="240" w:after="120"/>
      <w:jc w:val="both"/>
      <w:outlineLvl w:val="1"/>
    </w:pPr>
    <w:rPr>
      <w:rFonts w:ascii="Tahoma" w:hAnsi="Tahoma"/>
      <w:bCs/>
      <w:sz w:val="22"/>
      <w:u w:val="single"/>
      <w:lang w:val="en-GB" w:eastAsia="en-US"/>
    </w:rPr>
  </w:style>
  <w:style w:type="paragraph" w:customStyle="1" w:styleId="Referenciasbiblio">
    <w:name w:val="Referencias biblio"/>
    <w:basedOn w:val="Corpodetexto"/>
    <w:autoRedefine/>
    <w:rsid w:val="00CB5618"/>
    <w:pPr>
      <w:numPr>
        <w:numId w:val="5"/>
      </w:numPr>
      <w:spacing w:after="120"/>
      <w:ind w:left="426" w:hanging="426"/>
    </w:pPr>
    <w:rPr>
      <w:rFonts w:ascii="Tahoma" w:hAnsi="Tahoma" w:cs="Tahoma"/>
      <w:color w:val="000000"/>
      <w:sz w:val="22"/>
      <w:szCs w:val="22"/>
      <w:lang w:val="en-US" w:eastAsia="en-US"/>
    </w:rPr>
  </w:style>
  <w:style w:type="character" w:customStyle="1" w:styleId="Bibliogrphy">
    <w:name w:val="Bibliogrphy"/>
    <w:basedOn w:val="Tipodeletrapredefinidodopargrafo"/>
    <w:rsid w:val="00D370DE"/>
  </w:style>
  <w:style w:type="paragraph" w:customStyle="1" w:styleId="Text">
    <w:name w:val="Text"/>
    <w:rsid w:val="0057048C"/>
    <w:pPr>
      <w:jc w:val="both"/>
    </w:pPr>
    <w:rPr>
      <w:rFonts w:ascii="Helvetica" w:eastAsia="Arial Unicode MS" w:hAnsi="Arial Unicode MS" w:cs="Arial Unicode MS"/>
      <w:color w:val="000000"/>
      <w:sz w:val="24"/>
      <w:szCs w:val="24"/>
      <w:lang w:val="de-DE" w:eastAsia="da-DK"/>
    </w:rPr>
  </w:style>
  <w:style w:type="character" w:customStyle="1" w:styleId="apple-converted-space">
    <w:name w:val="apple-converted-space"/>
    <w:basedOn w:val="Tipodeletrapredefinidodopargrafo"/>
    <w:rsid w:val="00B61B72"/>
  </w:style>
  <w:style w:type="character" w:styleId="nfase">
    <w:name w:val="Emphasis"/>
    <w:basedOn w:val="Tipodeletrapredefinidodopargrafo"/>
    <w:uiPriority w:val="20"/>
    <w:qFormat/>
    <w:rsid w:val="00B61B72"/>
    <w:rPr>
      <w:i/>
      <w:iCs/>
    </w:rPr>
  </w:style>
  <w:style w:type="character" w:styleId="Refdecomentrio">
    <w:name w:val="annotation reference"/>
    <w:basedOn w:val="Tipodeletrapredefinidodopargrafo"/>
    <w:semiHidden/>
    <w:unhideWhenUsed/>
    <w:rsid w:val="009F1661"/>
    <w:rPr>
      <w:sz w:val="16"/>
      <w:szCs w:val="16"/>
    </w:rPr>
  </w:style>
  <w:style w:type="paragraph" w:styleId="Textodecomentrio">
    <w:name w:val="annotation text"/>
    <w:basedOn w:val="Normal"/>
    <w:link w:val="TextodecomentrioCarcter"/>
    <w:semiHidden/>
    <w:unhideWhenUsed/>
    <w:rsid w:val="009F1661"/>
    <w:rPr>
      <w:sz w:val="20"/>
    </w:rPr>
  </w:style>
  <w:style w:type="character" w:customStyle="1" w:styleId="TextodecomentrioCarcter">
    <w:name w:val="Texto de comentário Carácter"/>
    <w:basedOn w:val="Tipodeletrapredefinidodopargrafo"/>
    <w:link w:val="Textodecomentrio"/>
    <w:semiHidden/>
    <w:rsid w:val="009F1661"/>
    <w:rPr>
      <w:lang w:val="en-AU" w:eastAsia="en-GB"/>
    </w:rPr>
  </w:style>
  <w:style w:type="paragraph" w:styleId="Assuntodecomentrio">
    <w:name w:val="annotation subject"/>
    <w:basedOn w:val="Textodecomentrio"/>
    <w:next w:val="Textodecomentrio"/>
    <w:link w:val="AssuntodecomentrioCarcter"/>
    <w:semiHidden/>
    <w:unhideWhenUsed/>
    <w:rsid w:val="009F1661"/>
    <w:rPr>
      <w:b/>
      <w:bCs/>
    </w:rPr>
  </w:style>
  <w:style w:type="character" w:customStyle="1" w:styleId="AssuntodecomentrioCarcter">
    <w:name w:val="Assunto de comentário Carácter"/>
    <w:basedOn w:val="TextodecomentrioCarcter"/>
    <w:link w:val="Assuntodecomentrio"/>
    <w:semiHidden/>
    <w:rsid w:val="009F1661"/>
    <w:rPr>
      <w:b/>
      <w:bCs/>
      <w:lang w:val="en-AU" w:eastAsia="en-GB"/>
    </w:rPr>
  </w:style>
  <w:style w:type="paragraph" w:styleId="Reviso">
    <w:name w:val="Revision"/>
    <w:hidden/>
    <w:uiPriority w:val="99"/>
    <w:semiHidden/>
    <w:rsid w:val="009F1661"/>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A74BB58EBABEB0498AFD4ABBECB9B1C0" ma:contentTypeVersion="4" ma:contentTypeDescription="Criar um novo documento." ma:contentTypeScope="" ma:versionID="2a7b2dac59aeada0b15a5fad58fc1b3b">
  <xsd:schema xmlns:xsd="http://www.w3.org/2001/XMLSchema" xmlns:xs="http://www.w3.org/2001/XMLSchema" xmlns:p="http://schemas.microsoft.com/office/2006/metadata/properties" xmlns:ns2="716b16a7-de2f-47cc-9eaa-991bdb9199e1" targetNamespace="http://schemas.microsoft.com/office/2006/metadata/properties" ma:root="true" ma:fieldsID="b6f2a426b6149898afcc24684ec03f47"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6b16a7-de2f-47cc-9eaa-991bdb9199e1">IPQDOC-493-41915</_dlc_DocId>
    <_dlc_DocIdUrl xmlns="716b16a7-de2f-47cc-9eaa-991bdb9199e1">
      <Url>http://ipq1sapp01:9999/DMET/UMCA/AMVP/_layouts/DocIdRedir.aspx?ID=IPQDOC-493-41915</Url>
      <Description>IPQDOC-493-41915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b:Source>
    <b:Tag>Placeholder7</b:Tag>
    <b:SourceType>ArticleInAPeriodical</b:SourceType>
    <b:Guid>{F29B6C4C-306C-4EB7-8689-DEC552D14B3B}</b:Guid>
    <b:Title>Desenvolvimento de um padrão de medição de caudal de fluidos </b:Title>
    <b:Year>2014</b:Year>
    <b:Volume>7</b:Volume>
    <b:Author>
      <b:Author>
        <b:NameList>
          <b:Person>
            <b:Last>Batista E.</b:Last>
            <b:First>Gala</b:First>
            <b:Middle>J., Ribeiro L., Almeida N., Filipe E., Martins R.</b:Middle>
          </b:Person>
        </b:NameList>
      </b:Author>
    </b:Author>
    <b:PeriodicalTitle>Medições e Ensaios</b:PeriodicalTitle>
    <b:RefOrder>8</b:RefOrder>
  </b:Source>
  <b:Source>
    <b:Tag>Placeholder8</b:Tag>
    <b:SourceType>ConferenceProceedings</b:SourceType>
    <b:Guid>{DA6D8172-96BE-46C9-BDD7-6BE5F3A66FCD}</b:Guid>
    <b:Title>Uncertainty calculation in gravimetric microflow measurements</b:Title>
    <b:Year>2014</b:Year>
    <b:Author>
      <b:Author>
        <b:NameList>
          <b:Person>
            <b:Last>Batista E.</b:Last>
            <b:First>Almeida</b:First>
            <b:Middle>N., Filipe E., Godinhol I.</b:Middle>
          </b:Person>
        </b:NameList>
      </b:Author>
    </b:Author>
    <b:City>St Petersburg</b:City>
    <b:Publisher>AMCTM</b:Publisher>
    <b:RefOrder>9</b:RefOrder>
  </b:Source>
</b:Sources>
</file>

<file path=customXml/itemProps1.xml><?xml version="1.0" encoding="utf-8"?>
<ds:datastoreItem xmlns:ds="http://schemas.openxmlformats.org/officeDocument/2006/customXml" ds:itemID="{0F584107-555B-4214-A35F-248EF2A25CE5}"/>
</file>

<file path=customXml/itemProps2.xml><?xml version="1.0" encoding="utf-8"?>
<ds:datastoreItem xmlns:ds="http://schemas.openxmlformats.org/officeDocument/2006/customXml" ds:itemID="{68F0743C-1514-4A61-8120-DB900986FB90}"/>
</file>

<file path=customXml/itemProps3.xml><?xml version="1.0" encoding="utf-8"?>
<ds:datastoreItem xmlns:ds="http://schemas.openxmlformats.org/officeDocument/2006/customXml" ds:itemID="{1A61CBF0-0DD5-435B-96A3-4774099842F1}"/>
</file>

<file path=customXml/itemProps4.xml><?xml version="1.0" encoding="utf-8"?>
<ds:datastoreItem xmlns:ds="http://schemas.openxmlformats.org/officeDocument/2006/customXml" ds:itemID="{903DE229-5588-461E-B9E8-04C0C1BEE4D1}"/>
</file>

<file path=customXml/itemProps5.xml><?xml version="1.0" encoding="utf-8"?>
<ds:datastoreItem xmlns:ds="http://schemas.openxmlformats.org/officeDocument/2006/customXml" ds:itemID="{83395D38-3A97-45CC-978A-061CDA07C25E}"/>
</file>

<file path=docProps/app.xml><?xml version="1.0" encoding="utf-8"?>
<Properties xmlns="http://schemas.openxmlformats.org/officeDocument/2006/extended-properties" xmlns:vt="http://schemas.openxmlformats.org/officeDocument/2006/docPropsVTypes">
  <Template>MSA2011 template[1].dot</Template>
  <TotalTime>51</TotalTime>
  <Pages>4</Pages>
  <Words>2255</Words>
  <Characters>12178</Characters>
  <Application>Microsoft Office Word</Application>
  <DocSecurity>0</DocSecurity>
  <Lines>101</Lines>
  <Paragraphs>28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MSA Value in Measurement 2004</vt:lpstr>
      <vt:lpstr>MSA Value in Measurement 2004</vt:lpstr>
      <vt:lpstr>MSA Value in Measurement 2004</vt:lpstr>
    </vt:vector>
  </TitlesOfParts>
  <Company>Metrology Society of Australia</Company>
  <LinksUpToDate>false</LinksUpToDate>
  <CharactersWithSpaces>14405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Elsa Batista</cp:lastModifiedBy>
  <cp:revision>5</cp:revision>
  <cp:lastPrinted>2016-08-04T14:13:00Z</cp:lastPrinted>
  <dcterms:created xsi:type="dcterms:W3CDTF">2016-08-04T14:42:00Z</dcterms:created>
  <dcterms:modified xsi:type="dcterms:W3CDTF">2016-08-09T13:46:00Z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y fmtid="{D5CDD505-2E9C-101B-9397-08002B2CF9AE}" pid="5" name="ContentTypeId">
    <vt:lpwstr>0x010100A74BB58EBABEB0498AFD4ABBECB9B1C0</vt:lpwstr>
  </property>
  <property fmtid="{D5CDD505-2E9C-101B-9397-08002B2CF9AE}" pid="6" name="_dlc_DocIdItemGuid">
    <vt:lpwstr>5ad224a8-b9da-46d2-b73b-311bf6da05f3</vt:lpwstr>
  </property>
</Properties>
</file>