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Pr="002930BA" w:rsidRDefault="0029369D" w:rsidP="002930BA">
      <w:pPr>
        <w:pStyle w:val="Title"/>
        <w:rPr>
          <w:lang w:val="en-GB"/>
        </w:rPr>
      </w:pPr>
      <w:r>
        <w:t xml:space="preserve">An </w:t>
      </w:r>
      <w:proofErr w:type="spellStart"/>
      <w:r>
        <w:t>Intercomparison</w:t>
      </w:r>
      <w:proofErr w:type="spellEnd"/>
      <w:r>
        <w:t xml:space="preserve"> of Water Flow and </w:t>
      </w:r>
      <w:r>
        <w:br/>
        <w:t xml:space="preserve">Gas Flow Laboratories using ISO 5167 </w:t>
      </w:r>
      <w:proofErr w:type="spellStart"/>
      <w:r>
        <w:t>Dp</w:t>
      </w:r>
      <w:proofErr w:type="spellEnd"/>
      <w:r>
        <w:t xml:space="preserve"> Devices</w:t>
      </w:r>
    </w:p>
    <w:p w:rsidR="005F2C46" w:rsidRPr="002930BA" w:rsidRDefault="005F2C46">
      <w:pPr>
        <w:rPr>
          <w:lang w:val="en-GB"/>
        </w:rPr>
      </w:pPr>
    </w:p>
    <w:p w:rsidR="00D13359" w:rsidRPr="002930BA" w:rsidRDefault="007649DE" w:rsidP="00D13359">
      <w:pPr>
        <w:pStyle w:val="BodyText"/>
        <w:jc w:val="center"/>
        <w:rPr>
          <w:b/>
          <w:sz w:val="24"/>
          <w:lang w:val="nl-NL"/>
        </w:rPr>
      </w:pPr>
      <w:r>
        <w:rPr>
          <w:b/>
          <w:sz w:val="24"/>
          <w:lang w:val="nl-NL"/>
        </w:rPr>
        <w:t>Roy van Hartingsveldt</w:t>
      </w:r>
      <w:r>
        <w:rPr>
          <w:b/>
          <w:sz w:val="24"/>
          <w:vertAlign w:val="superscript"/>
          <w:lang w:val="nl-NL"/>
        </w:rPr>
        <w:t>1</w:t>
      </w:r>
      <w:r>
        <w:rPr>
          <w:b/>
          <w:sz w:val="24"/>
          <w:lang w:val="nl-NL"/>
        </w:rPr>
        <w:t xml:space="preserve">, </w:t>
      </w:r>
      <w:r w:rsidR="00BA086B" w:rsidRPr="002930BA">
        <w:rPr>
          <w:b/>
          <w:sz w:val="24"/>
          <w:lang w:val="nl-NL"/>
        </w:rPr>
        <w:t>Jos van der Grinten</w:t>
      </w:r>
      <w:r w:rsidR="00D13359" w:rsidRPr="002930BA">
        <w:rPr>
          <w:b/>
          <w:sz w:val="24"/>
          <w:vertAlign w:val="superscript"/>
          <w:lang w:val="nl-NL"/>
        </w:rPr>
        <w:t>1</w:t>
      </w:r>
      <w:r w:rsidR="0029369D">
        <w:rPr>
          <w:b/>
          <w:sz w:val="24"/>
          <w:lang w:val="nl-NL"/>
        </w:rPr>
        <w:t xml:space="preserve">, </w:t>
      </w:r>
      <w:r w:rsidR="004E51BA">
        <w:rPr>
          <w:b/>
          <w:sz w:val="24"/>
          <w:lang w:val="nl-NL"/>
        </w:rPr>
        <w:t>Stefan Knöfel</w:t>
      </w:r>
      <w:r w:rsidR="004E51BA">
        <w:rPr>
          <w:b/>
          <w:sz w:val="24"/>
          <w:vertAlign w:val="superscript"/>
          <w:lang w:val="nl-NL"/>
        </w:rPr>
        <w:t>2</w:t>
      </w:r>
      <w:r w:rsidR="004E51BA">
        <w:rPr>
          <w:b/>
          <w:sz w:val="24"/>
          <w:lang w:val="nl-NL"/>
        </w:rPr>
        <w:t xml:space="preserve"> and Eberhard Gralla</w:t>
      </w:r>
      <w:r w:rsidR="004E51BA">
        <w:rPr>
          <w:b/>
          <w:sz w:val="24"/>
          <w:vertAlign w:val="superscript"/>
          <w:lang w:val="nl-NL"/>
        </w:rPr>
        <w:t>2</w:t>
      </w:r>
    </w:p>
    <w:p w:rsidR="005F2C46" w:rsidRPr="002930BA" w:rsidRDefault="005F2C46">
      <w:pPr>
        <w:jc w:val="center"/>
        <w:rPr>
          <w:i/>
          <w:sz w:val="22"/>
          <w:lang w:val="nl-NL"/>
        </w:rPr>
      </w:pPr>
    </w:p>
    <w:p w:rsidR="00D13359" w:rsidRPr="00BA086B" w:rsidRDefault="00D13359" w:rsidP="00D13359">
      <w:pPr>
        <w:jc w:val="center"/>
        <w:rPr>
          <w:i/>
          <w:sz w:val="20"/>
          <w:lang w:val="nl-NL"/>
        </w:rPr>
      </w:pPr>
      <w:r w:rsidRPr="00BA086B">
        <w:rPr>
          <w:i/>
          <w:sz w:val="20"/>
          <w:vertAlign w:val="superscript"/>
          <w:lang w:val="nl-NL"/>
        </w:rPr>
        <w:t>1</w:t>
      </w:r>
      <w:r w:rsidR="00127ADD">
        <w:rPr>
          <w:i/>
          <w:sz w:val="20"/>
          <w:vertAlign w:val="superscript"/>
          <w:lang w:val="nl-NL"/>
        </w:rPr>
        <w:t xml:space="preserve"> </w:t>
      </w:r>
      <w:r w:rsidR="00BA086B" w:rsidRPr="00BA086B">
        <w:rPr>
          <w:i/>
          <w:sz w:val="20"/>
          <w:lang w:val="nl-NL"/>
        </w:rPr>
        <w:t>NMi EuroLoop</w:t>
      </w:r>
      <w:r w:rsidRPr="00BA086B">
        <w:rPr>
          <w:i/>
          <w:sz w:val="20"/>
          <w:lang w:val="nl-NL"/>
        </w:rPr>
        <w:t>,</w:t>
      </w:r>
      <w:r w:rsidR="00BA086B" w:rsidRPr="00BA086B">
        <w:rPr>
          <w:i/>
          <w:sz w:val="20"/>
          <w:lang w:val="nl-NL"/>
        </w:rPr>
        <w:t xml:space="preserve"> Petroleumweg 36</w:t>
      </w:r>
      <w:r w:rsidRPr="00BA086B">
        <w:rPr>
          <w:i/>
          <w:sz w:val="20"/>
          <w:lang w:val="nl-NL"/>
        </w:rPr>
        <w:t>,</w:t>
      </w:r>
      <w:r w:rsidR="00BA086B">
        <w:rPr>
          <w:i/>
          <w:sz w:val="20"/>
          <w:lang w:val="nl-NL"/>
        </w:rPr>
        <w:t xml:space="preserve"> 3196 KD </w:t>
      </w:r>
      <w:proofErr w:type="spellStart"/>
      <w:r w:rsidR="00BA086B" w:rsidRPr="00BA086B">
        <w:rPr>
          <w:i/>
          <w:sz w:val="20"/>
          <w:lang w:val="nl-NL"/>
        </w:rPr>
        <w:t>Rotterdam</w:t>
      </w:r>
      <w:r w:rsidR="00BA086B">
        <w:rPr>
          <w:i/>
          <w:sz w:val="20"/>
          <w:lang w:val="nl-NL"/>
        </w:rPr>
        <w:t>-Vondelingenplaat</w:t>
      </w:r>
      <w:proofErr w:type="spellEnd"/>
      <w:r w:rsidRPr="00BA086B">
        <w:rPr>
          <w:i/>
          <w:sz w:val="20"/>
          <w:lang w:val="nl-NL"/>
        </w:rPr>
        <w:t>,</w:t>
      </w:r>
      <w:r w:rsidR="00BA086B" w:rsidRPr="00BA086B">
        <w:rPr>
          <w:i/>
          <w:sz w:val="20"/>
          <w:lang w:val="nl-NL"/>
        </w:rPr>
        <w:t xml:space="preserve"> The </w:t>
      </w:r>
      <w:proofErr w:type="spellStart"/>
      <w:r w:rsidR="00BA086B" w:rsidRPr="00BA086B">
        <w:rPr>
          <w:i/>
          <w:sz w:val="20"/>
          <w:lang w:val="nl-NL"/>
        </w:rPr>
        <w:t>Netherlands</w:t>
      </w:r>
      <w:proofErr w:type="spellEnd"/>
    </w:p>
    <w:p w:rsidR="00D13359" w:rsidRPr="00411AE3" w:rsidRDefault="00D13359" w:rsidP="00BA086B">
      <w:pPr>
        <w:jc w:val="center"/>
        <w:rPr>
          <w:i/>
          <w:sz w:val="20"/>
          <w:lang w:val="de-DE"/>
        </w:rPr>
      </w:pPr>
      <w:r w:rsidRPr="00411AE3">
        <w:rPr>
          <w:i/>
          <w:sz w:val="20"/>
          <w:vertAlign w:val="superscript"/>
          <w:lang w:val="de-DE"/>
        </w:rPr>
        <w:t>2</w:t>
      </w:r>
      <w:r w:rsidR="00127ADD" w:rsidRPr="00411AE3">
        <w:rPr>
          <w:i/>
          <w:sz w:val="20"/>
          <w:vertAlign w:val="superscript"/>
          <w:lang w:val="de-DE"/>
        </w:rPr>
        <w:t xml:space="preserve"> </w:t>
      </w:r>
      <w:r w:rsidR="00127ADD" w:rsidRPr="00411AE3">
        <w:rPr>
          <w:i/>
          <w:sz w:val="20"/>
          <w:lang w:val="de-DE"/>
        </w:rPr>
        <w:t>Siemen</w:t>
      </w:r>
      <w:r w:rsidR="00BA086B" w:rsidRPr="00411AE3">
        <w:rPr>
          <w:i/>
          <w:sz w:val="20"/>
          <w:lang w:val="de-DE"/>
        </w:rPr>
        <w:t>s</w:t>
      </w:r>
      <w:r w:rsidR="00127ADD" w:rsidRPr="00411AE3">
        <w:rPr>
          <w:i/>
          <w:sz w:val="20"/>
          <w:lang w:val="de-DE"/>
        </w:rPr>
        <w:t xml:space="preserve"> AG</w:t>
      </w:r>
      <w:r w:rsidR="00411AE3">
        <w:rPr>
          <w:i/>
          <w:sz w:val="20"/>
          <w:lang w:val="de-DE"/>
        </w:rPr>
        <w:t>,</w:t>
      </w:r>
      <w:r w:rsidR="00127ADD" w:rsidRPr="00411AE3">
        <w:rPr>
          <w:i/>
          <w:sz w:val="20"/>
          <w:lang w:val="de-DE"/>
        </w:rPr>
        <w:t xml:space="preserve"> EN PTEC PP</w:t>
      </w:r>
      <w:r w:rsidR="00BA086B" w:rsidRPr="00411AE3">
        <w:rPr>
          <w:i/>
          <w:sz w:val="20"/>
          <w:lang w:val="de-DE"/>
        </w:rPr>
        <w:t xml:space="preserve">, </w:t>
      </w:r>
      <w:r w:rsidR="00411AE3" w:rsidRPr="00411AE3">
        <w:rPr>
          <w:i/>
          <w:sz w:val="20"/>
          <w:lang w:val="de-DE"/>
        </w:rPr>
        <w:t>Erlangen</w:t>
      </w:r>
      <w:r w:rsidR="00BA086B" w:rsidRPr="00411AE3">
        <w:rPr>
          <w:i/>
          <w:sz w:val="20"/>
          <w:lang w:val="de-DE"/>
        </w:rPr>
        <w:t xml:space="preserve">, </w:t>
      </w:r>
      <w:r w:rsidR="00411AE3">
        <w:rPr>
          <w:i/>
          <w:sz w:val="20"/>
          <w:lang w:val="de-DE"/>
        </w:rPr>
        <w:t>Germany</w:t>
      </w:r>
    </w:p>
    <w:p w:rsidR="005F2C46" w:rsidRDefault="00D13359" w:rsidP="00D13359">
      <w:pPr>
        <w:jc w:val="center"/>
        <w:rPr>
          <w:i/>
          <w:sz w:val="20"/>
        </w:rPr>
      </w:pPr>
      <w:r w:rsidRPr="00D13359">
        <w:rPr>
          <w:i/>
          <w:sz w:val="20"/>
        </w:rPr>
        <w:t>E</w:t>
      </w:r>
      <w:r w:rsidR="005340E6">
        <w:rPr>
          <w:i/>
          <w:sz w:val="20"/>
        </w:rPr>
        <w:t xml:space="preserve">-mail </w:t>
      </w:r>
      <w:r w:rsidR="00BA086B">
        <w:rPr>
          <w:i/>
          <w:sz w:val="20"/>
        </w:rPr>
        <w:t xml:space="preserve">corresponding author: </w:t>
      </w:r>
      <w:hyperlink r:id="rId8" w:history="1">
        <w:r w:rsidR="00BA086B" w:rsidRPr="00A57453">
          <w:rPr>
            <w:rStyle w:val="Hyperlink"/>
            <w:i/>
            <w:sz w:val="20"/>
          </w:rPr>
          <w:t>jos.vandergrinten@nmi-euroloop.nl</w:t>
        </w:r>
      </w:hyperlink>
      <w:r w:rsidR="00BA086B">
        <w:rPr>
          <w:sz w:val="20"/>
        </w:rPr>
        <w:t xml:space="preserve"> </w:t>
      </w:r>
    </w:p>
    <w:p w:rsidR="005F2C46" w:rsidRDefault="00041A4B">
      <w:r>
        <w:pict>
          <v:rect id="_x0000_i1025" style="width:0;height:1.5pt" o:hralign="center" o:hrstd="t" o:hr="t" fillcolor="gray" stroked="f"/>
        </w:pict>
      </w:r>
    </w:p>
    <w:p w:rsidR="00AB51F5" w:rsidRDefault="00AB51F5" w:rsidP="00AB51F5"/>
    <w:p w:rsidR="008F447E" w:rsidRDefault="004E51BA" w:rsidP="00AB51F5">
      <w:r>
        <w:t xml:space="preserve">Between August 2013 and March 2014 an </w:t>
      </w:r>
      <w:proofErr w:type="spellStart"/>
      <w:r>
        <w:t>intercomparison</w:t>
      </w:r>
      <w:proofErr w:type="spellEnd"/>
      <w:r>
        <w:t xml:space="preserve"> was organized using a ISA 1932 nozzle, a long radius nozzle and a Venturi tube. </w:t>
      </w:r>
      <w:r w:rsidR="00127ADD">
        <w:t xml:space="preserve">The devices were made by Seiko in stainless steel according to the ISO 5167 standard </w:t>
      </w:r>
      <w:r w:rsidR="00041A4B">
        <w:fldChar w:fldCharType="begin"/>
      </w:r>
      <w:r w:rsidR="00127ADD">
        <w:instrText xml:space="preserve"> REF _Ref444549958 \r \h </w:instrText>
      </w:r>
      <w:r w:rsidR="00041A4B">
        <w:fldChar w:fldCharType="separate"/>
      </w:r>
      <w:r w:rsidR="00127ADD">
        <w:t>[1]</w:t>
      </w:r>
      <w:r w:rsidR="00041A4B">
        <w:fldChar w:fldCharType="end"/>
      </w:r>
      <w:r w:rsidR="0067430F">
        <w:t xml:space="preserve"> and are equipped with double pressure </w:t>
      </w:r>
      <w:proofErr w:type="spellStart"/>
      <w:r w:rsidR="0067430F">
        <w:t>tappings</w:t>
      </w:r>
      <w:proofErr w:type="spellEnd"/>
      <w:r w:rsidR="00AF173E">
        <w:t>. Two sections were made: a Venturi section and a section with interchangeable ISA and long radius nozzle.</w:t>
      </w:r>
    </w:p>
    <w:p w:rsidR="00127ADD" w:rsidRDefault="0067430F" w:rsidP="00AB51F5">
      <w:r>
        <w:t>The coordination was performed by Siemens.</w:t>
      </w:r>
    </w:p>
    <w:p w:rsidR="004E51BA" w:rsidRDefault="00127ADD" w:rsidP="00AB51F5">
      <w:r>
        <w:t xml:space="preserve">In the </w:t>
      </w:r>
      <w:proofErr w:type="spellStart"/>
      <w:r>
        <w:t>intercomparison</w:t>
      </w:r>
      <w:proofErr w:type="spellEnd"/>
      <w:r>
        <w:t xml:space="preserve"> </w:t>
      </w:r>
      <w:r w:rsidR="00AF173E">
        <w:t>3</w:t>
      </w:r>
      <w:r>
        <w:t xml:space="preserve"> water flow laboratories and 3 gas flow laboratories participated.</w:t>
      </w:r>
      <w:r w:rsidR="00AF173E">
        <w:t xml:space="preserve"> Figure 1 below shows the results for the long radius nozzle.</w:t>
      </w:r>
      <w:r w:rsidR="006E099D">
        <w:t xml:space="preserve"> The </w:t>
      </w:r>
      <w:proofErr w:type="spellStart"/>
      <w:r w:rsidR="006E099D">
        <w:t>Cd</w:t>
      </w:r>
      <w:proofErr w:type="spellEnd"/>
      <w:r w:rsidR="006E099D">
        <w:t xml:space="preserve"> value is plotted as a function of the Re number. The left hand graph shows the results for the water calibrations, the right hand figure shows the results for the gas calibration. The other results will shown in the paper.</w:t>
      </w:r>
    </w:p>
    <w:p w:rsidR="00AF173E" w:rsidRDefault="00AF173E" w:rsidP="00AB51F5"/>
    <w:p w:rsidR="00AF173E" w:rsidRDefault="006E099D" w:rsidP="00AB51F5">
      <w:r w:rsidRPr="006E099D">
        <w:drawing>
          <wp:inline distT="0" distB="0" distL="0" distR="0">
            <wp:extent cx="3060000" cy="1896074"/>
            <wp:effectExtent l="19050" t="0" r="705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060000" cy="1896074"/>
                    </a:xfrm>
                    <a:prstGeom prst="rect">
                      <a:avLst/>
                    </a:prstGeom>
                    <a:noFill/>
                    <a:ln w="9525">
                      <a:noFill/>
                      <a:miter lim="800000"/>
                      <a:headEnd/>
                      <a:tailEnd/>
                    </a:ln>
                  </pic:spPr>
                </pic:pic>
              </a:graphicData>
            </a:graphic>
          </wp:inline>
        </w:drawing>
      </w:r>
      <w:r w:rsidRPr="006E099D">
        <w:t xml:space="preserve"> </w:t>
      </w:r>
      <w:r w:rsidR="00AF173E" w:rsidRPr="00AF173E">
        <w:drawing>
          <wp:inline distT="0" distB="0" distL="0" distR="0">
            <wp:extent cx="3024000" cy="1948437"/>
            <wp:effectExtent l="19050" t="0" r="49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24000" cy="1948437"/>
                    </a:xfrm>
                    <a:prstGeom prst="rect">
                      <a:avLst/>
                    </a:prstGeom>
                    <a:noFill/>
                    <a:ln w="9525">
                      <a:noFill/>
                      <a:miter lim="800000"/>
                      <a:headEnd/>
                      <a:tailEnd/>
                    </a:ln>
                  </pic:spPr>
                </pic:pic>
              </a:graphicData>
            </a:graphic>
          </wp:inline>
        </w:drawing>
      </w:r>
    </w:p>
    <w:p w:rsidR="00AF173E" w:rsidRPr="006E099D" w:rsidRDefault="00AF173E" w:rsidP="00AB51F5">
      <w:pPr>
        <w:rPr>
          <w:i/>
          <w:sz w:val="22"/>
        </w:rPr>
      </w:pPr>
      <w:r w:rsidRPr="006E099D">
        <w:rPr>
          <w:i/>
          <w:sz w:val="22"/>
        </w:rPr>
        <w:t xml:space="preserve">Figure 1:  </w:t>
      </w:r>
      <w:r w:rsidR="006E099D" w:rsidRPr="006E099D">
        <w:rPr>
          <w:i/>
          <w:sz w:val="22"/>
        </w:rPr>
        <w:t>Calibration results for a long radius nozzle calibrated with water (left) and natural gas (right).</w:t>
      </w:r>
    </w:p>
    <w:p w:rsidR="0067430F" w:rsidRDefault="0067430F" w:rsidP="00AB51F5"/>
    <w:p w:rsidR="006E099D" w:rsidRPr="00127ADD" w:rsidRDefault="006E099D" w:rsidP="00AB51F5">
      <w:r>
        <w:t>All calibration results agree within the measurement uncertainty with the literature value</w:t>
      </w:r>
      <w:r w:rsidR="00AF173E">
        <w:t xml:space="preserve">. </w:t>
      </w:r>
      <w:r>
        <w:t>As no literature values are available for the higher Re</w:t>
      </w:r>
      <w:r w:rsidR="004354B6">
        <w:t>y</w:t>
      </w:r>
      <w:r>
        <w:t xml:space="preserve">nolds numbers </w:t>
      </w:r>
      <w:r w:rsidR="004354B6">
        <w:t>the result are considered to be presented to ISO for revision of the ISO 5167 standard.</w:t>
      </w:r>
    </w:p>
    <w:p w:rsidR="004E51BA" w:rsidRDefault="00AF173E" w:rsidP="00AB51F5">
      <w:r>
        <w:t xml:space="preserve">One of the remarkable outcomes was the very good agreement for the long radius nozzle. The device produces the most stable results and appears to be suited best for future </w:t>
      </w:r>
      <w:proofErr w:type="spellStart"/>
      <w:r>
        <w:t>intercomparisons</w:t>
      </w:r>
      <w:proofErr w:type="spellEnd"/>
      <w:r>
        <w:t>.</w:t>
      </w:r>
    </w:p>
    <w:p w:rsidR="00AF173E" w:rsidRDefault="00AF173E" w:rsidP="00AB51F5"/>
    <w:p w:rsidR="004E51BA" w:rsidRPr="00AB51F5" w:rsidRDefault="004E51BA" w:rsidP="00AB51F5"/>
    <w:p w:rsidR="009F73B4" w:rsidRDefault="00512B02" w:rsidP="009F73B4">
      <w:pPr>
        <w:jc w:val="both"/>
        <w:rPr>
          <w:szCs w:val="24"/>
        </w:rPr>
      </w:pPr>
      <w:r>
        <w:rPr>
          <w:szCs w:val="24"/>
        </w:rPr>
        <w:t>References</w:t>
      </w:r>
    </w:p>
    <w:p w:rsidR="00512B02" w:rsidRPr="00512B02" w:rsidRDefault="008F447E" w:rsidP="00512B02">
      <w:pPr>
        <w:pStyle w:val="ListParagraph"/>
        <w:numPr>
          <w:ilvl w:val="0"/>
          <w:numId w:val="6"/>
        </w:numPr>
        <w:ind w:left="426" w:hanging="426"/>
        <w:rPr>
          <w:sz w:val="22"/>
          <w:szCs w:val="24"/>
        </w:rPr>
      </w:pPr>
      <w:bookmarkStart w:id="0" w:name="_Ref444549958"/>
      <w:bookmarkStart w:id="1" w:name="_Ref444542218"/>
      <w:r w:rsidRPr="008F447E">
        <w:rPr>
          <w:sz w:val="22"/>
          <w:szCs w:val="24"/>
        </w:rPr>
        <w:t>ISO 5167</w:t>
      </w:r>
      <w:r>
        <w:rPr>
          <w:sz w:val="22"/>
          <w:szCs w:val="24"/>
        </w:rPr>
        <w:t>-3,4</w:t>
      </w:r>
      <w:r w:rsidRPr="008F447E">
        <w:rPr>
          <w:sz w:val="22"/>
          <w:szCs w:val="24"/>
        </w:rPr>
        <w:t xml:space="preserve"> (2003): Measurement of fluid flow by means of pressure differential devices inserted in circular cross-section conduits running full — </w:t>
      </w:r>
      <w:r>
        <w:rPr>
          <w:sz w:val="22"/>
          <w:szCs w:val="24"/>
        </w:rPr>
        <w:t>Part 3</w:t>
      </w:r>
      <w:r w:rsidRPr="008F447E">
        <w:rPr>
          <w:sz w:val="22"/>
          <w:szCs w:val="24"/>
          <w:lang w:val="en-GB"/>
        </w:rPr>
        <w:t xml:space="preserve">: Nozzles and </w:t>
      </w:r>
      <w:proofErr w:type="spellStart"/>
      <w:r w:rsidRPr="008F447E">
        <w:rPr>
          <w:sz w:val="22"/>
          <w:szCs w:val="24"/>
          <w:lang w:val="en-GB"/>
        </w:rPr>
        <w:t>Venturi</w:t>
      </w:r>
      <w:proofErr w:type="spellEnd"/>
      <w:r w:rsidRPr="008F447E">
        <w:rPr>
          <w:sz w:val="22"/>
          <w:szCs w:val="24"/>
          <w:lang w:val="en-GB"/>
        </w:rPr>
        <w:t xml:space="preserve"> nozzles</w:t>
      </w:r>
      <w:r>
        <w:rPr>
          <w:sz w:val="22"/>
          <w:szCs w:val="24"/>
        </w:rPr>
        <w:t xml:space="preserve"> </w:t>
      </w:r>
      <w:r w:rsidRPr="008F447E">
        <w:rPr>
          <w:sz w:val="22"/>
          <w:szCs w:val="24"/>
        </w:rPr>
        <w:t>—</w:t>
      </w:r>
      <w:r>
        <w:rPr>
          <w:sz w:val="22"/>
          <w:szCs w:val="24"/>
        </w:rPr>
        <w:t xml:space="preserve"> </w:t>
      </w:r>
      <w:r w:rsidRPr="008F447E">
        <w:rPr>
          <w:sz w:val="22"/>
          <w:szCs w:val="24"/>
        </w:rPr>
        <w:t>Part 4: Venturi tubes, ISO 2003, Geneva</w:t>
      </w:r>
      <w:bookmarkEnd w:id="0"/>
    </w:p>
    <w:bookmarkEnd w:id="1"/>
    <w:p w:rsidR="00EA6110" w:rsidRDefault="00041A4B" w:rsidP="00737D34">
      <w:pPr>
        <w:sectPr w:rsidR="00EA6110" w:rsidSect="00A86C33">
          <w:footerReference w:type="default" r:id="rId11"/>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BodyText"/>
        <w:tabs>
          <w:tab w:val="center" w:pos="2268"/>
          <w:tab w:val="right" w:pos="4536"/>
        </w:tabs>
      </w:pPr>
    </w:p>
    <w:p w:rsidR="005F2C46" w:rsidRDefault="005F2C46">
      <w:pPr>
        <w:pStyle w:val="BodyText"/>
      </w:pPr>
    </w:p>
    <w:sectPr w:rsidR="005F2C46" w:rsidSect="00A86C33">
      <w:footerReference w:type="default" r:id="rId12"/>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E2" w:rsidRDefault="00D859E2" w:rsidP="00B370F7">
      <w:r>
        <w:separator/>
      </w:r>
    </w:p>
  </w:endnote>
  <w:endnote w:type="continuationSeparator" w:id="0">
    <w:p w:rsidR="00D859E2" w:rsidRDefault="00D859E2"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041A4B" w:rsidRPr="00B370F7">
      <w:rPr>
        <w:sz w:val="20"/>
      </w:rPr>
      <w:fldChar w:fldCharType="begin"/>
    </w:r>
    <w:r w:rsidR="00B370F7" w:rsidRPr="00B370F7">
      <w:rPr>
        <w:sz w:val="20"/>
      </w:rPr>
      <w:instrText xml:space="preserve"> PAGE   \* MERGEFORMAT </w:instrText>
    </w:r>
    <w:r w:rsidR="00041A4B" w:rsidRPr="00B370F7">
      <w:rPr>
        <w:sz w:val="20"/>
      </w:rPr>
      <w:fldChar w:fldCharType="separate"/>
    </w:r>
    <w:r w:rsidR="004354B6">
      <w:rPr>
        <w:noProof/>
        <w:sz w:val="20"/>
      </w:rPr>
      <w:t>1</w:t>
    </w:r>
    <w:r w:rsidR="00041A4B"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041A4B" w:rsidRPr="00B370F7">
      <w:rPr>
        <w:sz w:val="20"/>
      </w:rPr>
      <w:fldChar w:fldCharType="begin"/>
    </w:r>
    <w:r w:rsidR="00250D41" w:rsidRPr="00B370F7">
      <w:rPr>
        <w:sz w:val="20"/>
      </w:rPr>
      <w:instrText xml:space="preserve"> PAGE   \* MERGEFORMAT </w:instrText>
    </w:r>
    <w:r w:rsidR="00041A4B" w:rsidRPr="00B370F7">
      <w:rPr>
        <w:sz w:val="20"/>
      </w:rPr>
      <w:fldChar w:fldCharType="separate"/>
    </w:r>
    <w:r w:rsidR="00556E78">
      <w:rPr>
        <w:noProof/>
        <w:sz w:val="20"/>
      </w:rPr>
      <w:t>2</w:t>
    </w:r>
    <w:r w:rsidR="00041A4B"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E2" w:rsidRDefault="00D859E2" w:rsidP="00B370F7">
      <w:r>
        <w:separator/>
      </w:r>
    </w:p>
  </w:footnote>
  <w:footnote w:type="continuationSeparator" w:id="0">
    <w:p w:rsidR="00D859E2" w:rsidRDefault="00D859E2"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120D38B1"/>
    <w:multiLevelType w:val="hybridMultilevel"/>
    <w:tmpl w:val="38100C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C537DC"/>
    <w:multiLevelType w:val="hybridMultilevel"/>
    <w:tmpl w:val="039252CA"/>
    <w:lvl w:ilvl="0" w:tplc="3A74D3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F511F5"/>
    <w:multiLevelType w:val="hybridMultilevel"/>
    <w:tmpl w:val="479EF8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5">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5F2C46"/>
    <w:rsid w:val="00041A4B"/>
    <w:rsid w:val="00127ADD"/>
    <w:rsid w:val="001A454B"/>
    <w:rsid w:val="00250D41"/>
    <w:rsid w:val="002930BA"/>
    <w:rsid w:val="0029369D"/>
    <w:rsid w:val="002A40F4"/>
    <w:rsid w:val="002A73B9"/>
    <w:rsid w:val="00361D2A"/>
    <w:rsid w:val="003C0BF7"/>
    <w:rsid w:val="003D6491"/>
    <w:rsid w:val="003F2FDE"/>
    <w:rsid w:val="00411AE3"/>
    <w:rsid w:val="004354B6"/>
    <w:rsid w:val="00481C7F"/>
    <w:rsid w:val="004E0EF7"/>
    <w:rsid w:val="004E51BA"/>
    <w:rsid w:val="00512B02"/>
    <w:rsid w:val="005340E6"/>
    <w:rsid w:val="00556E78"/>
    <w:rsid w:val="005912E1"/>
    <w:rsid w:val="005B3B20"/>
    <w:rsid w:val="005C07BE"/>
    <w:rsid w:val="005F2C46"/>
    <w:rsid w:val="006248F6"/>
    <w:rsid w:val="00641DAC"/>
    <w:rsid w:val="00657F17"/>
    <w:rsid w:val="0067430F"/>
    <w:rsid w:val="006E099D"/>
    <w:rsid w:val="006F12BB"/>
    <w:rsid w:val="00737D34"/>
    <w:rsid w:val="00756053"/>
    <w:rsid w:val="007649DE"/>
    <w:rsid w:val="007D499A"/>
    <w:rsid w:val="007F73B3"/>
    <w:rsid w:val="00807BEF"/>
    <w:rsid w:val="00815774"/>
    <w:rsid w:val="00825F28"/>
    <w:rsid w:val="008357DD"/>
    <w:rsid w:val="008846C1"/>
    <w:rsid w:val="008B29EC"/>
    <w:rsid w:val="008B4239"/>
    <w:rsid w:val="008F447E"/>
    <w:rsid w:val="00905079"/>
    <w:rsid w:val="00993167"/>
    <w:rsid w:val="009E25DD"/>
    <w:rsid w:val="009F73B4"/>
    <w:rsid w:val="00A0063B"/>
    <w:rsid w:val="00A12E51"/>
    <w:rsid w:val="00A217DA"/>
    <w:rsid w:val="00A24BCD"/>
    <w:rsid w:val="00A45D7A"/>
    <w:rsid w:val="00A641DF"/>
    <w:rsid w:val="00A86C33"/>
    <w:rsid w:val="00AB51F5"/>
    <w:rsid w:val="00AF173E"/>
    <w:rsid w:val="00AF5702"/>
    <w:rsid w:val="00B21BA8"/>
    <w:rsid w:val="00B33C9D"/>
    <w:rsid w:val="00B370F7"/>
    <w:rsid w:val="00B56E22"/>
    <w:rsid w:val="00B5774C"/>
    <w:rsid w:val="00B8734B"/>
    <w:rsid w:val="00BA086B"/>
    <w:rsid w:val="00BE2A1A"/>
    <w:rsid w:val="00C30A51"/>
    <w:rsid w:val="00CA5018"/>
    <w:rsid w:val="00D0073E"/>
    <w:rsid w:val="00D13359"/>
    <w:rsid w:val="00D859E2"/>
    <w:rsid w:val="00EA6110"/>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DF"/>
    <w:rPr>
      <w:sz w:val="24"/>
      <w:lang w:val="en-AU" w:eastAsia="en-GB"/>
    </w:rPr>
  </w:style>
  <w:style w:type="paragraph" w:styleId="Heading1">
    <w:name w:val="heading 1"/>
    <w:basedOn w:val="Normal"/>
    <w:next w:val="Normal"/>
    <w:qFormat/>
    <w:rsid w:val="00A641DF"/>
    <w:pPr>
      <w:keepNext/>
      <w:outlineLvl w:val="0"/>
    </w:pPr>
    <w:rPr>
      <w:b/>
      <w:sz w:val="20"/>
    </w:rPr>
  </w:style>
  <w:style w:type="paragraph" w:styleId="Heading2">
    <w:name w:val="heading 2"/>
    <w:basedOn w:val="Normal"/>
    <w:next w:val="Normal"/>
    <w:qFormat/>
    <w:rsid w:val="00A641DF"/>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1DF"/>
    <w:pPr>
      <w:spacing w:before="120" w:after="120"/>
      <w:jc w:val="both"/>
    </w:pPr>
    <w:rPr>
      <w:b/>
      <w:sz w:val="16"/>
    </w:rPr>
  </w:style>
  <w:style w:type="paragraph" w:styleId="BodyText">
    <w:name w:val="Body Text"/>
    <w:basedOn w:val="Normal"/>
    <w:rsid w:val="00A641DF"/>
    <w:pPr>
      <w:jc w:val="both"/>
    </w:pPr>
    <w:rPr>
      <w:sz w:val="20"/>
    </w:rPr>
  </w:style>
  <w:style w:type="paragraph" w:styleId="Title">
    <w:name w:val="Title"/>
    <w:basedOn w:val="Normal"/>
    <w:qFormat/>
    <w:rsid w:val="00A641DF"/>
    <w:pPr>
      <w:jc w:val="center"/>
    </w:pPr>
    <w:rPr>
      <w:b/>
      <w:sz w:val="36"/>
    </w:rPr>
  </w:style>
  <w:style w:type="paragraph" w:styleId="BodyTextIndent">
    <w:name w:val="Body Text Indent"/>
    <w:basedOn w:val="Normal"/>
    <w:rsid w:val="00A641DF"/>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table" w:styleId="TableGrid">
    <w:name w:val="Table Grid"/>
    <w:basedOn w:val="TableNormal"/>
    <w:uiPriority w:val="59"/>
    <w:rsid w:val="003F2FDE"/>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s.vandergrinten@nmi-euroloo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9A04-46EC-4C8D-A072-3C5B78BA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250</TotalTime>
  <Pages>1</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2046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grintenj</cp:lastModifiedBy>
  <cp:revision>10</cp:revision>
  <cp:lastPrinted>2015-08-31T03:45:00Z</cp:lastPrinted>
  <dcterms:created xsi:type="dcterms:W3CDTF">2016-02-05T11:50:00Z</dcterms:created>
  <dcterms:modified xsi:type="dcterms:W3CDTF">2016-02-29T23:17:00Z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