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6" w:rsidRDefault="00B33AC4">
      <w:pPr>
        <w:pStyle w:val="a5"/>
      </w:pPr>
      <w:r>
        <w:rPr>
          <w:szCs w:val="21"/>
        </w:rPr>
        <w:t>A</w:t>
      </w:r>
      <w:r>
        <w:rPr>
          <w:rFonts w:hint="eastAsia"/>
          <w:szCs w:val="21"/>
        </w:rPr>
        <w:t xml:space="preserve"> </w:t>
      </w:r>
      <w:r w:rsidR="00A148E2">
        <w:rPr>
          <w:rFonts w:hint="eastAsia"/>
          <w:szCs w:val="21"/>
        </w:rPr>
        <w:t xml:space="preserve">New </w:t>
      </w:r>
      <w:r>
        <w:rPr>
          <w:rFonts w:hint="eastAsia"/>
          <w:szCs w:val="21"/>
        </w:rPr>
        <w:t xml:space="preserve">Kind of Time Measurement Method for Control System of </w:t>
      </w:r>
      <w:proofErr w:type="spellStart"/>
      <w:r>
        <w:rPr>
          <w:rFonts w:hint="eastAsia"/>
          <w:szCs w:val="21"/>
        </w:rPr>
        <w:t>Flowrate</w:t>
      </w:r>
      <w:proofErr w:type="spellEnd"/>
      <w:r>
        <w:rPr>
          <w:rFonts w:hint="eastAsia"/>
          <w:szCs w:val="21"/>
        </w:rPr>
        <w:t xml:space="preserve"> Standard Facility</w:t>
      </w:r>
    </w:p>
    <w:p w:rsidR="005F2C46" w:rsidRDefault="005F2C46"/>
    <w:p w:rsidR="00D13359" w:rsidRPr="00D13359" w:rsidRDefault="003B5965" w:rsidP="00D13359">
      <w:pPr>
        <w:pStyle w:val="a4"/>
        <w:jc w:val="center"/>
        <w:rPr>
          <w:b/>
          <w:sz w:val="24"/>
          <w:lang w:eastAsia="zh-CN"/>
        </w:rPr>
      </w:pPr>
      <w:r w:rsidRPr="003B5965">
        <w:rPr>
          <w:rFonts w:hint="eastAsia"/>
          <w:b/>
          <w:sz w:val="24"/>
        </w:rPr>
        <w:t>Chao Chen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 w:rsidR="00B33AC4">
        <w:rPr>
          <w:rFonts w:hint="eastAsia"/>
          <w:b/>
          <w:sz w:val="24"/>
          <w:lang w:eastAsia="zh-CN"/>
        </w:rPr>
        <w:t>Can</w:t>
      </w:r>
      <w:r w:rsidRPr="003B5965">
        <w:rPr>
          <w:rFonts w:hint="eastAsia"/>
          <w:b/>
          <w:sz w:val="24"/>
        </w:rPr>
        <w:t xml:space="preserve"> </w:t>
      </w:r>
      <w:r w:rsidR="00B33AC4">
        <w:rPr>
          <w:rFonts w:hint="eastAsia"/>
          <w:b/>
          <w:sz w:val="24"/>
          <w:lang w:eastAsia="zh-CN"/>
        </w:rPr>
        <w:t>Wang</w:t>
      </w:r>
      <w:r w:rsidR="00D13359" w:rsidRPr="00D13359">
        <w:rPr>
          <w:b/>
          <w:sz w:val="24"/>
          <w:vertAlign w:val="superscript"/>
        </w:rPr>
        <w:t>2</w:t>
      </w:r>
      <w:r w:rsidR="00D13359" w:rsidRPr="00D13359">
        <w:rPr>
          <w:b/>
          <w:sz w:val="24"/>
        </w:rPr>
        <w:t xml:space="preserve">, </w:t>
      </w:r>
      <w:proofErr w:type="spellStart"/>
      <w:r w:rsidR="00B33AC4">
        <w:rPr>
          <w:rFonts w:hint="eastAsia"/>
          <w:b/>
          <w:sz w:val="24"/>
          <w:lang w:eastAsia="zh-CN"/>
        </w:rPr>
        <w:t>Yiping</w:t>
      </w:r>
      <w:proofErr w:type="spellEnd"/>
      <w:r w:rsidR="00B33AC4" w:rsidRPr="003B5965">
        <w:rPr>
          <w:rFonts w:hint="eastAsia"/>
          <w:b/>
          <w:sz w:val="24"/>
        </w:rPr>
        <w:t xml:space="preserve"> </w:t>
      </w:r>
      <w:r w:rsidR="00B33AC4">
        <w:rPr>
          <w:rFonts w:hint="eastAsia"/>
          <w:b/>
          <w:sz w:val="24"/>
          <w:lang w:eastAsia="zh-CN"/>
        </w:rPr>
        <w:t>Liu</w:t>
      </w:r>
      <w:r w:rsidRPr="00D13359">
        <w:rPr>
          <w:b/>
          <w:sz w:val="24"/>
          <w:vertAlign w:val="superscript"/>
        </w:rPr>
        <w:t>3</w:t>
      </w:r>
      <w:r w:rsidRPr="00D13359">
        <w:rPr>
          <w:b/>
          <w:sz w:val="24"/>
        </w:rPr>
        <w:t>,</w:t>
      </w:r>
      <w:r w:rsidRPr="003B5965">
        <w:rPr>
          <w:b/>
          <w:sz w:val="24"/>
        </w:rPr>
        <w:t xml:space="preserve"> </w:t>
      </w:r>
      <w:proofErr w:type="spellStart"/>
      <w:r w:rsidR="00B33AC4">
        <w:rPr>
          <w:rFonts w:hint="eastAsia"/>
          <w:b/>
          <w:sz w:val="24"/>
          <w:lang w:eastAsia="zh-CN"/>
        </w:rPr>
        <w:t>Xinhong</w:t>
      </w:r>
      <w:proofErr w:type="spellEnd"/>
      <w:r w:rsidR="00B33AC4" w:rsidRPr="003B5965">
        <w:rPr>
          <w:rFonts w:hint="eastAsia"/>
          <w:b/>
          <w:sz w:val="24"/>
        </w:rPr>
        <w:t xml:space="preserve"> </w:t>
      </w:r>
      <w:r w:rsidR="00B33AC4">
        <w:rPr>
          <w:rFonts w:hint="eastAsia"/>
          <w:b/>
          <w:sz w:val="24"/>
          <w:lang w:eastAsia="zh-CN"/>
        </w:rPr>
        <w:t>Yao</w:t>
      </w:r>
      <w:r w:rsidR="00433A9D">
        <w:rPr>
          <w:rFonts w:hint="eastAsia"/>
          <w:b/>
          <w:sz w:val="24"/>
          <w:vertAlign w:val="superscript"/>
          <w:lang w:eastAsia="zh-CN"/>
        </w:rPr>
        <w:t>4</w:t>
      </w:r>
    </w:p>
    <w:p w:rsidR="005F2C46" w:rsidRPr="00B33AC4" w:rsidRDefault="005F2C46">
      <w:pPr>
        <w:jc w:val="center"/>
        <w:rPr>
          <w:i/>
          <w:sz w:val="22"/>
        </w:rPr>
      </w:pPr>
    </w:p>
    <w:p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3B5965" w:rsidRPr="003B5965">
        <w:rPr>
          <w:rFonts w:hint="eastAsia"/>
          <w:i/>
          <w:sz w:val="20"/>
        </w:rPr>
        <w:t>Shanghai Institute of Measurement and Testing Technology</w:t>
      </w:r>
      <w:r w:rsidRPr="00D13359">
        <w:rPr>
          <w:i/>
          <w:sz w:val="20"/>
        </w:rPr>
        <w:t xml:space="preserve">, </w:t>
      </w:r>
      <w:r w:rsidR="003B5965" w:rsidRPr="003B5965">
        <w:rPr>
          <w:i/>
          <w:sz w:val="20"/>
        </w:rPr>
        <w:t>No</w:t>
      </w:r>
      <w:r w:rsidR="003B5965" w:rsidRPr="003B5965">
        <w:rPr>
          <w:rFonts w:hint="eastAsia"/>
          <w:i/>
          <w:sz w:val="20"/>
        </w:rPr>
        <w:t>1500</w:t>
      </w:r>
      <w:r w:rsidR="003B5965" w:rsidRPr="003B5965">
        <w:rPr>
          <w:i/>
          <w:sz w:val="20"/>
        </w:rPr>
        <w:t xml:space="preserve"> </w:t>
      </w:r>
      <w:r w:rsidR="003B5965" w:rsidRPr="003B5965">
        <w:rPr>
          <w:rFonts w:hint="eastAsia"/>
          <w:i/>
          <w:sz w:val="20"/>
        </w:rPr>
        <w:t>Zhangheng Rd.</w:t>
      </w:r>
      <w:r w:rsidR="003B5965" w:rsidRPr="003B5965">
        <w:rPr>
          <w:i/>
          <w:sz w:val="20"/>
        </w:rPr>
        <w:t>,</w:t>
      </w:r>
      <w:r w:rsidR="003B5965" w:rsidRPr="003B5965">
        <w:rPr>
          <w:rFonts w:hint="eastAsia"/>
          <w:i/>
          <w:sz w:val="20"/>
        </w:rPr>
        <w:t xml:space="preserve"> Shanghai</w:t>
      </w:r>
      <w:r w:rsidRPr="00D13359">
        <w:rPr>
          <w:i/>
          <w:sz w:val="20"/>
        </w:rPr>
        <w:t xml:space="preserve">, </w:t>
      </w:r>
      <w:r w:rsidR="003B5965" w:rsidRPr="003B5965">
        <w:rPr>
          <w:i/>
          <w:sz w:val="20"/>
        </w:rPr>
        <w:t>China</w:t>
      </w:r>
    </w:p>
    <w:p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3B5965" w:rsidRPr="003B5965">
        <w:rPr>
          <w:rFonts w:hint="eastAsia"/>
          <w:i/>
          <w:sz w:val="20"/>
        </w:rPr>
        <w:t>Shanghai Institute of Measurement and Testing Technology</w:t>
      </w:r>
      <w:r w:rsidRPr="00D13359">
        <w:rPr>
          <w:i/>
          <w:sz w:val="20"/>
        </w:rPr>
        <w:t xml:space="preserve">, </w:t>
      </w:r>
      <w:r w:rsidR="003B5965" w:rsidRPr="003B5965">
        <w:rPr>
          <w:rFonts w:hint="eastAsia"/>
          <w:i/>
          <w:sz w:val="20"/>
        </w:rPr>
        <w:t>Shanghai</w:t>
      </w:r>
      <w:r w:rsidR="003B5965" w:rsidRPr="00D13359">
        <w:rPr>
          <w:i/>
          <w:sz w:val="20"/>
        </w:rPr>
        <w:t xml:space="preserve">, </w:t>
      </w:r>
      <w:r w:rsidR="003B5965" w:rsidRPr="003B5965">
        <w:rPr>
          <w:i/>
          <w:sz w:val="20"/>
        </w:rPr>
        <w:t>China</w:t>
      </w:r>
    </w:p>
    <w:p w:rsidR="00D13359" w:rsidRDefault="00D13359" w:rsidP="00D13359">
      <w:pPr>
        <w:jc w:val="center"/>
        <w:rPr>
          <w:i/>
          <w:sz w:val="20"/>
          <w:lang w:eastAsia="zh-CN"/>
        </w:rPr>
      </w:pPr>
      <w:r w:rsidRPr="00D13359">
        <w:rPr>
          <w:i/>
          <w:sz w:val="20"/>
          <w:vertAlign w:val="superscript"/>
        </w:rPr>
        <w:t>3</w:t>
      </w:r>
      <w:r w:rsidR="003B5965" w:rsidRPr="003B5965">
        <w:rPr>
          <w:rFonts w:hint="eastAsia"/>
          <w:i/>
          <w:sz w:val="20"/>
        </w:rPr>
        <w:t>Shanghai Institute of Measurement and Testing Technology</w:t>
      </w:r>
      <w:r w:rsidR="003B5965" w:rsidRPr="00D13359">
        <w:rPr>
          <w:i/>
          <w:sz w:val="20"/>
        </w:rPr>
        <w:t xml:space="preserve">, </w:t>
      </w:r>
      <w:r w:rsidR="003B5965" w:rsidRPr="003B5965">
        <w:rPr>
          <w:rFonts w:hint="eastAsia"/>
          <w:i/>
          <w:sz w:val="20"/>
        </w:rPr>
        <w:t>Shanghai</w:t>
      </w:r>
      <w:r w:rsidR="003B5965" w:rsidRPr="00D13359">
        <w:rPr>
          <w:i/>
          <w:sz w:val="20"/>
        </w:rPr>
        <w:t xml:space="preserve">, </w:t>
      </w:r>
      <w:r w:rsidR="003B5965" w:rsidRPr="003B5965">
        <w:rPr>
          <w:i/>
          <w:sz w:val="20"/>
        </w:rPr>
        <w:t>China</w:t>
      </w:r>
    </w:p>
    <w:p w:rsidR="003B5965" w:rsidRPr="00D13359" w:rsidRDefault="003B5965" w:rsidP="003B5965">
      <w:pPr>
        <w:jc w:val="center"/>
        <w:rPr>
          <w:i/>
          <w:sz w:val="20"/>
          <w:lang w:eastAsia="zh-CN"/>
        </w:rPr>
      </w:pPr>
      <w:r>
        <w:rPr>
          <w:rFonts w:hint="eastAsia"/>
          <w:i/>
          <w:sz w:val="20"/>
          <w:vertAlign w:val="superscript"/>
          <w:lang w:eastAsia="zh-CN"/>
        </w:rPr>
        <w:t>4</w:t>
      </w:r>
      <w:r w:rsidRPr="003B5965">
        <w:rPr>
          <w:rFonts w:hint="eastAsia"/>
          <w:i/>
          <w:sz w:val="20"/>
        </w:rPr>
        <w:t>Shanghai Institute of Measurement and Testing Technology</w:t>
      </w:r>
      <w:r w:rsidRPr="00D13359">
        <w:rPr>
          <w:i/>
          <w:sz w:val="20"/>
        </w:rPr>
        <w:t xml:space="preserve">, </w:t>
      </w:r>
      <w:r w:rsidRPr="003B5965">
        <w:rPr>
          <w:rFonts w:hint="eastAsia"/>
          <w:i/>
          <w:sz w:val="20"/>
        </w:rPr>
        <w:t>Shanghai</w:t>
      </w:r>
      <w:r w:rsidRPr="00D13359">
        <w:rPr>
          <w:i/>
          <w:sz w:val="20"/>
        </w:rPr>
        <w:t xml:space="preserve">, </w:t>
      </w:r>
      <w:r w:rsidRPr="003B5965">
        <w:rPr>
          <w:i/>
          <w:sz w:val="20"/>
        </w:rPr>
        <w:t>China</w:t>
      </w:r>
    </w:p>
    <w:p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E-mail</w:t>
      </w:r>
      <w:r w:rsidR="003B5965">
        <w:rPr>
          <w:i/>
          <w:sz w:val="20"/>
        </w:rPr>
        <w:t>:</w:t>
      </w:r>
      <w:r w:rsidR="003B5965">
        <w:rPr>
          <w:rFonts w:hint="eastAsia"/>
          <w:i/>
          <w:sz w:val="20"/>
          <w:lang w:eastAsia="zh-CN"/>
        </w:rPr>
        <w:t>chenc</w:t>
      </w:r>
      <w:r w:rsidRPr="00D13359">
        <w:rPr>
          <w:i/>
          <w:sz w:val="20"/>
        </w:rPr>
        <w:t>@</w:t>
      </w:r>
      <w:r w:rsidR="003B5965">
        <w:rPr>
          <w:rFonts w:hint="eastAsia"/>
          <w:i/>
          <w:sz w:val="20"/>
          <w:lang w:eastAsia="zh-CN"/>
        </w:rPr>
        <w:t>simt</w:t>
      </w:r>
      <w:r w:rsidRPr="00D13359">
        <w:rPr>
          <w:i/>
          <w:sz w:val="20"/>
        </w:rPr>
        <w:t>.com</w:t>
      </w:r>
      <w:r w:rsidR="003B5965">
        <w:rPr>
          <w:rFonts w:hint="eastAsia"/>
          <w:i/>
          <w:sz w:val="20"/>
          <w:lang w:eastAsia="zh-CN"/>
        </w:rPr>
        <w:t>.cn</w:t>
      </w:r>
    </w:p>
    <w:p w:rsidR="005F2C46" w:rsidRDefault="00303749">
      <w:r>
        <w:pict>
          <v:rect id="_x0000_i1025" style="width:0;height:1.5pt" o:hralign="center" o:hrstd="t" o:hr="t" fillcolor="gray" stroked="f"/>
        </w:pict>
      </w:r>
    </w:p>
    <w:p w:rsidR="00C819BB" w:rsidRPr="00FF0E54" w:rsidRDefault="00A148E2" w:rsidP="00737D34">
      <w:pPr>
        <w:jc w:val="both"/>
        <w:rPr>
          <w:rFonts w:hint="eastAsia"/>
          <w:szCs w:val="24"/>
        </w:rPr>
      </w:pPr>
      <w:bookmarkStart w:id="0" w:name="OLE_LINK3"/>
      <w:bookmarkStart w:id="1" w:name="OLE_LINK4"/>
      <w:r>
        <w:rPr>
          <w:szCs w:val="24"/>
        </w:rPr>
        <w:t xml:space="preserve">As we know, </w:t>
      </w:r>
      <w:r w:rsidRPr="00FF0E54">
        <w:rPr>
          <w:szCs w:val="24"/>
        </w:rPr>
        <w:t xml:space="preserve">timer is an important part of the </w:t>
      </w:r>
      <w:proofErr w:type="spellStart"/>
      <w:r w:rsidRPr="00FF0E54">
        <w:rPr>
          <w:szCs w:val="24"/>
        </w:rPr>
        <w:t>flow</w:t>
      </w:r>
      <w:r>
        <w:rPr>
          <w:rFonts w:hint="eastAsia"/>
          <w:szCs w:val="24"/>
        </w:rPr>
        <w:t>rate</w:t>
      </w:r>
      <w:proofErr w:type="spellEnd"/>
      <w:r>
        <w:rPr>
          <w:szCs w:val="24"/>
        </w:rPr>
        <w:t xml:space="preserve"> standard </w:t>
      </w:r>
      <w:r>
        <w:rPr>
          <w:rFonts w:hint="eastAsia"/>
          <w:szCs w:val="24"/>
        </w:rPr>
        <w:t>facility</w:t>
      </w:r>
      <w:r w:rsidRPr="00FF0E54">
        <w:rPr>
          <w:szCs w:val="24"/>
        </w:rPr>
        <w:t xml:space="preserve"> which is directly related to the uncertainty of the </w:t>
      </w:r>
      <w:proofErr w:type="spellStart"/>
      <w:r w:rsidRPr="00FF0E54">
        <w:rPr>
          <w:szCs w:val="24"/>
        </w:rPr>
        <w:t>flowrate</w:t>
      </w:r>
      <w:proofErr w:type="spellEnd"/>
      <w:r w:rsidRPr="00FF0E54">
        <w:rPr>
          <w:szCs w:val="24"/>
        </w:rPr>
        <w:t xml:space="preserve"> standard </w:t>
      </w:r>
      <w:r>
        <w:rPr>
          <w:rFonts w:hint="eastAsia"/>
          <w:szCs w:val="24"/>
        </w:rPr>
        <w:t>facility</w:t>
      </w:r>
      <w:r w:rsidRPr="00FF0E54">
        <w:rPr>
          <w:szCs w:val="24"/>
        </w:rPr>
        <w:t xml:space="preserve">. Currently, </w:t>
      </w:r>
      <w:r>
        <w:rPr>
          <w:rFonts w:hint="eastAsia"/>
          <w:szCs w:val="24"/>
        </w:rPr>
        <w:t>a</w:t>
      </w:r>
      <w:r w:rsidRPr="00A148E2">
        <w:rPr>
          <w:szCs w:val="24"/>
        </w:rPr>
        <w:t xml:space="preserve">n overwhelming majority of </w:t>
      </w:r>
      <w:proofErr w:type="spellStart"/>
      <w:r w:rsidR="002022D6" w:rsidRPr="00FF0E54">
        <w:rPr>
          <w:szCs w:val="24"/>
        </w:rPr>
        <w:t>flowrate</w:t>
      </w:r>
      <w:proofErr w:type="spellEnd"/>
      <w:r w:rsidR="002022D6" w:rsidRPr="00FF0E54">
        <w:rPr>
          <w:szCs w:val="24"/>
        </w:rPr>
        <w:t xml:space="preserve"> standard </w:t>
      </w:r>
      <w:r w:rsidR="002022D6">
        <w:rPr>
          <w:rFonts w:hint="eastAsia"/>
          <w:szCs w:val="24"/>
        </w:rPr>
        <w:t>facilitie</w:t>
      </w:r>
      <w:r w:rsidR="002022D6" w:rsidRPr="00FF0E54">
        <w:rPr>
          <w:szCs w:val="24"/>
        </w:rPr>
        <w:t>s using</w:t>
      </w:r>
      <w:r w:rsidR="002022D6" w:rsidRPr="00A148E2">
        <w:rPr>
          <w:szCs w:val="24"/>
        </w:rPr>
        <w:t xml:space="preserve"> </w:t>
      </w:r>
      <w:r w:rsidR="002022D6" w:rsidRPr="00FF0E54">
        <w:rPr>
          <w:szCs w:val="24"/>
        </w:rPr>
        <w:t>PLC</w:t>
      </w:r>
      <w:r w:rsidR="002022D6" w:rsidRPr="00A148E2">
        <w:rPr>
          <w:szCs w:val="24"/>
        </w:rPr>
        <w:t xml:space="preserve"> </w:t>
      </w:r>
      <w:r w:rsidR="002022D6" w:rsidRPr="00FF0E54">
        <w:rPr>
          <w:szCs w:val="24"/>
        </w:rPr>
        <w:t>require th</w:t>
      </w:r>
      <w:r w:rsidR="002022D6">
        <w:rPr>
          <w:szCs w:val="24"/>
        </w:rPr>
        <w:t>e external pulse generator as tim</w:t>
      </w:r>
      <w:r w:rsidR="00A42841">
        <w:rPr>
          <w:rFonts w:hint="eastAsia"/>
          <w:szCs w:val="24"/>
        </w:rPr>
        <w:t>e</w:t>
      </w:r>
      <w:r w:rsidR="002022D6">
        <w:rPr>
          <w:szCs w:val="24"/>
        </w:rPr>
        <w:t xml:space="preserve"> standard for</w:t>
      </w:r>
      <w:r w:rsidR="002022D6" w:rsidRPr="00FF0E54">
        <w:rPr>
          <w:szCs w:val="24"/>
        </w:rPr>
        <w:t xml:space="preserve"> control sy</w:t>
      </w:r>
      <w:r w:rsidR="002022D6">
        <w:rPr>
          <w:szCs w:val="24"/>
        </w:rPr>
        <w:t xml:space="preserve">stem of </w:t>
      </w:r>
      <w:proofErr w:type="spellStart"/>
      <w:r w:rsidR="002022D6">
        <w:rPr>
          <w:szCs w:val="24"/>
        </w:rPr>
        <w:t>flowrate</w:t>
      </w:r>
      <w:proofErr w:type="spellEnd"/>
      <w:r w:rsidR="002022D6">
        <w:rPr>
          <w:szCs w:val="24"/>
        </w:rPr>
        <w:t xml:space="preserve"> standard </w:t>
      </w:r>
      <w:r w:rsidR="002022D6">
        <w:rPr>
          <w:rFonts w:hint="eastAsia"/>
          <w:szCs w:val="24"/>
        </w:rPr>
        <w:t>facility</w:t>
      </w:r>
      <w:r w:rsidR="002022D6" w:rsidRPr="00FF0E54">
        <w:rPr>
          <w:szCs w:val="24"/>
        </w:rPr>
        <w:t>.</w:t>
      </w:r>
    </w:p>
    <w:p w:rsidR="00C819BB" w:rsidRPr="00FF0E54" w:rsidRDefault="00C819BB" w:rsidP="00737D34">
      <w:pPr>
        <w:jc w:val="both"/>
        <w:rPr>
          <w:rFonts w:hint="eastAsia"/>
          <w:szCs w:val="24"/>
        </w:rPr>
      </w:pPr>
      <w:r w:rsidRPr="00FF0E54">
        <w:rPr>
          <w:szCs w:val="24"/>
        </w:rPr>
        <w:t xml:space="preserve">In this paper, we use </w:t>
      </w:r>
      <w:bookmarkStart w:id="2" w:name="OLE_LINK1"/>
      <w:bookmarkStart w:id="3" w:name="OLE_LINK2"/>
      <w:r w:rsidRPr="00FF0E54">
        <w:rPr>
          <w:szCs w:val="24"/>
        </w:rPr>
        <w:t>the PLC internal clock</w:t>
      </w:r>
      <w:bookmarkEnd w:id="2"/>
      <w:bookmarkEnd w:id="3"/>
      <w:r w:rsidRPr="00FF0E54">
        <w:rPr>
          <w:szCs w:val="24"/>
        </w:rPr>
        <w:t xml:space="preserve"> as the tim</w:t>
      </w:r>
      <w:r w:rsidRPr="00FF0E54">
        <w:rPr>
          <w:rFonts w:hint="eastAsia"/>
          <w:szCs w:val="24"/>
        </w:rPr>
        <w:t>e</w:t>
      </w:r>
      <w:r w:rsidRPr="00FF0E54">
        <w:rPr>
          <w:szCs w:val="24"/>
        </w:rPr>
        <w:t xml:space="preserve"> standard for the </w:t>
      </w:r>
      <w:proofErr w:type="spellStart"/>
      <w:r w:rsidRPr="00FF0E54">
        <w:rPr>
          <w:szCs w:val="24"/>
        </w:rPr>
        <w:t>flowrate</w:t>
      </w:r>
      <w:proofErr w:type="spellEnd"/>
      <w:r w:rsidRPr="00FF0E54">
        <w:rPr>
          <w:szCs w:val="24"/>
        </w:rPr>
        <w:t xml:space="preserve"> standard </w:t>
      </w:r>
      <w:r w:rsidRPr="00FF0E54">
        <w:rPr>
          <w:rFonts w:hint="eastAsia"/>
          <w:szCs w:val="24"/>
        </w:rPr>
        <w:t>facility</w:t>
      </w:r>
      <w:r w:rsidRPr="00FF0E54">
        <w:rPr>
          <w:szCs w:val="24"/>
        </w:rPr>
        <w:t xml:space="preserve"> by th</w:t>
      </w:r>
      <w:r w:rsidR="00A42841" w:rsidRPr="00FF0E54">
        <w:rPr>
          <w:szCs w:val="24"/>
        </w:rPr>
        <w:t>e function of millisecond timer</w:t>
      </w:r>
      <w:r w:rsidR="00A42841" w:rsidRPr="00FF0E54">
        <w:rPr>
          <w:rFonts w:hint="eastAsia"/>
          <w:szCs w:val="24"/>
        </w:rPr>
        <w:t xml:space="preserve"> </w:t>
      </w:r>
      <w:r w:rsidRPr="00FF0E54">
        <w:rPr>
          <w:szCs w:val="24"/>
        </w:rPr>
        <w:t>interru</w:t>
      </w:r>
      <w:r w:rsidR="00A42841" w:rsidRPr="00FF0E54">
        <w:rPr>
          <w:szCs w:val="24"/>
        </w:rPr>
        <w:t>pt and immediate data</w:t>
      </w:r>
      <w:r w:rsidR="00A42841" w:rsidRPr="00FF0E54">
        <w:rPr>
          <w:rFonts w:hint="eastAsia"/>
          <w:szCs w:val="24"/>
        </w:rPr>
        <w:t xml:space="preserve"> </w:t>
      </w:r>
      <w:r w:rsidRPr="00FF0E54">
        <w:rPr>
          <w:szCs w:val="24"/>
        </w:rPr>
        <w:t>output</w:t>
      </w:r>
      <w:r w:rsidR="009C5B6D">
        <w:rPr>
          <w:rFonts w:hint="eastAsia"/>
          <w:szCs w:val="24"/>
          <w:lang w:eastAsia="zh-CN"/>
        </w:rPr>
        <w:t xml:space="preserve">, </w:t>
      </w:r>
      <w:r w:rsidRPr="00FF0E54">
        <w:rPr>
          <w:szCs w:val="24"/>
        </w:rPr>
        <w:t xml:space="preserve">which is not affected by the PLC internal program performing a scan cycle. </w:t>
      </w:r>
      <w:bookmarkStart w:id="4" w:name="OLE_LINK11"/>
      <w:r w:rsidRPr="00FF0E54">
        <w:rPr>
          <w:szCs w:val="24"/>
        </w:rPr>
        <w:t>T</w:t>
      </w:r>
      <w:r w:rsidRPr="00FF0E54">
        <w:rPr>
          <w:rFonts w:hint="eastAsia"/>
          <w:szCs w:val="24"/>
        </w:rPr>
        <w:t xml:space="preserve">he new method is </w:t>
      </w:r>
      <w:r w:rsidRPr="00FF0E54">
        <w:rPr>
          <w:szCs w:val="24"/>
        </w:rPr>
        <w:t xml:space="preserve">verified </w:t>
      </w:r>
      <w:r w:rsidR="00FF0E54" w:rsidRPr="00FF0E54">
        <w:rPr>
          <w:rFonts w:hint="eastAsia"/>
          <w:szCs w:val="24"/>
        </w:rPr>
        <w:t xml:space="preserve">by </w:t>
      </w:r>
      <w:r w:rsidRPr="00FF0E54">
        <w:rPr>
          <w:szCs w:val="24"/>
        </w:rPr>
        <w:t>experiment</w:t>
      </w:r>
      <w:bookmarkEnd w:id="4"/>
      <w:r w:rsidRPr="00FF0E54">
        <w:rPr>
          <w:szCs w:val="24"/>
        </w:rPr>
        <w:t xml:space="preserve">, </w:t>
      </w:r>
      <w:r w:rsidRPr="00FF0E54">
        <w:rPr>
          <w:rFonts w:hint="eastAsia"/>
          <w:szCs w:val="24"/>
        </w:rPr>
        <w:t>t</w:t>
      </w:r>
      <w:r w:rsidRPr="00FF0E54">
        <w:rPr>
          <w:szCs w:val="24"/>
        </w:rPr>
        <w:t xml:space="preserve">he experiment shows that </w:t>
      </w:r>
      <w:r w:rsidR="00FF0E54" w:rsidRPr="00FF0E54">
        <w:rPr>
          <w:szCs w:val="24"/>
        </w:rPr>
        <w:t xml:space="preserve">the PLC internal clock </w:t>
      </w:r>
      <w:r w:rsidR="00FF0E54" w:rsidRPr="00FF0E54">
        <w:rPr>
          <w:rFonts w:hint="eastAsia"/>
          <w:szCs w:val="24"/>
        </w:rPr>
        <w:t xml:space="preserve">can </w:t>
      </w:r>
      <w:r w:rsidRPr="00FF0E54">
        <w:rPr>
          <w:szCs w:val="24"/>
        </w:rPr>
        <w:t>measure the</w:t>
      </w:r>
      <w:r w:rsidR="00FF0E54" w:rsidRPr="00FF0E54">
        <w:rPr>
          <w:rFonts w:hint="eastAsia"/>
          <w:szCs w:val="24"/>
        </w:rPr>
        <w:t xml:space="preserve"> timer</w:t>
      </w:r>
      <w:r w:rsidR="00FF0E54" w:rsidRPr="00FF0E54">
        <w:rPr>
          <w:szCs w:val="24"/>
        </w:rPr>
        <w:t>’</w:t>
      </w:r>
      <w:r w:rsidR="00FF0E54" w:rsidRPr="00FF0E54">
        <w:rPr>
          <w:rFonts w:hint="eastAsia"/>
          <w:szCs w:val="24"/>
        </w:rPr>
        <w:t xml:space="preserve">s </w:t>
      </w:r>
      <w:r w:rsidRPr="00FF0E54">
        <w:rPr>
          <w:szCs w:val="24"/>
        </w:rPr>
        <w:t>stability and time interval accurately</w:t>
      </w:r>
      <w:proofErr w:type="gramStart"/>
      <w:r w:rsidR="00FF0E54" w:rsidRPr="00FF0E54">
        <w:rPr>
          <w:rFonts w:hint="eastAsia"/>
          <w:szCs w:val="24"/>
        </w:rPr>
        <w:t>,</w:t>
      </w:r>
      <w:r w:rsidRPr="00FF0E54">
        <w:rPr>
          <w:rFonts w:hint="eastAsia"/>
          <w:szCs w:val="24"/>
        </w:rPr>
        <w:t xml:space="preserve"> </w:t>
      </w:r>
      <w:r w:rsidR="00FF0E54">
        <w:rPr>
          <w:rFonts w:hint="eastAsia"/>
          <w:szCs w:val="24"/>
          <w:lang w:eastAsia="zh-CN"/>
        </w:rPr>
        <w:t xml:space="preserve"> </w:t>
      </w:r>
      <w:r w:rsidRPr="00FF0E54">
        <w:rPr>
          <w:szCs w:val="24"/>
        </w:rPr>
        <w:t>the</w:t>
      </w:r>
      <w:proofErr w:type="gramEnd"/>
      <w:r w:rsidRPr="00FF0E54">
        <w:rPr>
          <w:szCs w:val="24"/>
        </w:rPr>
        <w:t xml:space="preserve"> uncertainty of the timer meets the requirements of the </w:t>
      </w:r>
      <w:proofErr w:type="spellStart"/>
      <w:r w:rsidRPr="00FF0E54">
        <w:rPr>
          <w:szCs w:val="24"/>
        </w:rPr>
        <w:t>flowrate</w:t>
      </w:r>
      <w:proofErr w:type="spellEnd"/>
      <w:r w:rsidRPr="00FF0E54">
        <w:rPr>
          <w:szCs w:val="24"/>
        </w:rPr>
        <w:t xml:space="preserve"> standard </w:t>
      </w:r>
      <w:r w:rsidRPr="00FF0E54">
        <w:rPr>
          <w:rFonts w:hint="eastAsia"/>
          <w:szCs w:val="24"/>
        </w:rPr>
        <w:t>facility</w:t>
      </w:r>
      <w:r w:rsidRPr="00FF0E54">
        <w:rPr>
          <w:szCs w:val="24"/>
        </w:rPr>
        <w:t>.</w:t>
      </w:r>
    </w:p>
    <w:bookmarkEnd w:id="0"/>
    <w:bookmarkEnd w:id="1"/>
    <w:p w:rsidR="00A148E2" w:rsidRPr="00737D34" w:rsidRDefault="00A148E2" w:rsidP="00737D34">
      <w:pPr>
        <w:jc w:val="both"/>
        <w:rPr>
          <w:rFonts w:hint="eastAsia"/>
          <w:szCs w:val="24"/>
        </w:rPr>
      </w:pPr>
    </w:p>
    <w:p w:rsidR="00EA6110" w:rsidRDefault="00303749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5F2C46" w:rsidRDefault="005F2C46">
      <w:pPr>
        <w:pStyle w:val="a4"/>
        <w:rPr>
          <w:lang w:eastAsia="zh-CN"/>
        </w:rPr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0D" w:rsidRDefault="00680B0D" w:rsidP="00B370F7">
      <w:r>
        <w:separator/>
      </w:r>
    </w:p>
  </w:endnote>
  <w:endnote w:type="continuationSeparator" w:id="1">
    <w:p w:rsidR="00680B0D" w:rsidRDefault="00680B0D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303749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303749" w:rsidRPr="00B370F7">
      <w:rPr>
        <w:sz w:val="20"/>
      </w:rPr>
      <w:fldChar w:fldCharType="separate"/>
    </w:r>
    <w:r w:rsidR="009C5B6D">
      <w:rPr>
        <w:noProof/>
        <w:sz w:val="20"/>
      </w:rPr>
      <w:t>1</w:t>
    </w:r>
    <w:r w:rsidR="00303749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303749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303749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303749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0D" w:rsidRDefault="00680B0D" w:rsidP="00B370F7">
      <w:r>
        <w:separator/>
      </w:r>
    </w:p>
  </w:footnote>
  <w:footnote w:type="continuationSeparator" w:id="1">
    <w:p w:rsidR="00680B0D" w:rsidRDefault="00680B0D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46"/>
    <w:rsid w:val="002022D6"/>
    <w:rsid w:val="00250D41"/>
    <w:rsid w:val="002A73B9"/>
    <w:rsid w:val="00303749"/>
    <w:rsid w:val="003B5965"/>
    <w:rsid w:val="003C0BF7"/>
    <w:rsid w:val="003D6491"/>
    <w:rsid w:val="00433A9D"/>
    <w:rsid w:val="00481C7F"/>
    <w:rsid w:val="005912E1"/>
    <w:rsid w:val="005B3B20"/>
    <w:rsid w:val="005C07BE"/>
    <w:rsid w:val="005F2C46"/>
    <w:rsid w:val="006248F6"/>
    <w:rsid w:val="00641DAC"/>
    <w:rsid w:val="006575ED"/>
    <w:rsid w:val="00657F17"/>
    <w:rsid w:val="0067222E"/>
    <w:rsid w:val="00680B0D"/>
    <w:rsid w:val="006C16DE"/>
    <w:rsid w:val="006F12BB"/>
    <w:rsid w:val="00737D34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95094B"/>
    <w:rsid w:val="009C5B6D"/>
    <w:rsid w:val="00A0063B"/>
    <w:rsid w:val="00A12E51"/>
    <w:rsid w:val="00A148E2"/>
    <w:rsid w:val="00A217DA"/>
    <w:rsid w:val="00A42841"/>
    <w:rsid w:val="00A45D7A"/>
    <w:rsid w:val="00A86C33"/>
    <w:rsid w:val="00AA2F21"/>
    <w:rsid w:val="00AB51F5"/>
    <w:rsid w:val="00AF5702"/>
    <w:rsid w:val="00B21BA8"/>
    <w:rsid w:val="00B33AC4"/>
    <w:rsid w:val="00B33C9D"/>
    <w:rsid w:val="00B370F7"/>
    <w:rsid w:val="00B56E22"/>
    <w:rsid w:val="00B8734B"/>
    <w:rsid w:val="00BE2A1A"/>
    <w:rsid w:val="00C819BB"/>
    <w:rsid w:val="00D0073E"/>
    <w:rsid w:val="00D13359"/>
    <w:rsid w:val="00EA6110"/>
    <w:rsid w:val="00F62060"/>
    <w:rsid w:val="00F96FF1"/>
    <w:rsid w:val="00FC1BA3"/>
    <w:rsid w:val="00FE6DC4"/>
    <w:rsid w:val="00FF0E54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4B"/>
    <w:rPr>
      <w:sz w:val="24"/>
      <w:lang w:val="en-AU" w:eastAsia="en-GB"/>
    </w:rPr>
  </w:style>
  <w:style w:type="paragraph" w:styleId="1">
    <w:name w:val="heading 1"/>
    <w:basedOn w:val="a"/>
    <w:next w:val="a"/>
    <w:qFormat/>
    <w:rsid w:val="0095094B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95094B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094B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rsid w:val="0095094B"/>
    <w:pPr>
      <w:jc w:val="both"/>
    </w:pPr>
    <w:rPr>
      <w:sz w:val="20"/>
    </w:rPr>
  </w:style>
  <w:style w:type="paragraph" w:styleId="a5">
    <w:name w:val="Title"/>
    <w:basedOn w:val="a"/>
    <w:qFormat/>
    <w:rsid w:val="0095094B"/>
    <w:pPr>
      <w:jc w:val="center"/>
    </w:pPr>
    <w:rPr>
      <w:b/>
      <w:sz w:val="36"/>
    </w:rPr>
  </w:style>
  <w:style w:type="paragraph" w:styleId="a6">
    <w:name w:val="Body Text Indent"/>
    <w:basedOn w:val="a"/>
    <w:rsid w:val="0095094B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99F6-A3B6-419B-9706-F85D63E0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58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1317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SIMT</dc:title>
  <dc:creator>cc</dc:creator>
  <cp:lastModifiedBy>chenc</cp:lastModifiedBy>
  <cp:revision>6</cp:revision>
  <cp:lastPrinted>2015-08-31T03:45:00Z</cp:lastPrinted>
  <dcterms:created xsi:type="dcterms:W3CDTF">2016-02-29T00:21:00Z</dcterms:created>
  <dcterms:modified xsi:type="dcterms:W3CDTF">2016-02-29T01:30:00Z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